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29237A" w:rsidP="00B85B88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1 do OPINII Rady Dziekańskiej Wydziału Matematyki i Informatyki Uniwersytetu Warmińsko-Mazurskiego w Olsztynie </w:t>
      </w:r>
      <w:r w:rsidRPr="00B85B88" w:rsidR="00B85B88">
        <w:rPr>
          <w:i/>
          <w:szCs w:val="24"/>
        </w:rPr>
        <w:t>z 23 lutego 2021 r.</w:t>
      </w:r>
      <w:r w:rsidR="00B85B88">
        <w:rPr>
          <w:i/>
          <w:szCs w:val="24"/>
        </w:rPr>
        <w:t xml:space="preserve"> </w:t>
      </w:r>
      <w:r w:rsidRPr="00B85B88" w:rsidR="00B85B88">
        <w:rPr>
          <w:i/>
          <w:szCs w:val="24"/>
        </w:rPr>
        <w:t>w sprawie: zaopiniowania pytań na egzamin dyplomowy obowiązujących</w:t>
      </w:r>
      <w:r w:rsidR="00B85B88">
        <w:rPr>
          <w:i/>
          <w:szCs w:val="24"/>
        </w:rPr>
        <w:t xml:space="preserve"> </w:t>
      </w:r>
      <w:r w:rsidRPr="00B85B88" w:rsidR="00B85B88">
        <w:rPr>
          <w:i/>
          <w:szCs w:val="24"/>
        </w:rPr>
        <w:t>od 1 czerwca 2021</w:t>
      </w:r>
    </w:p>
    <w:p w:rsidR="0090161E" w:rsidRPr="0090161E" w:rsidP="00B85B88">
      <w:pPr>
        <w:jc w:val="both"/>
        <w:rPr>
          <w:szCs w:val="24"/>
        </w:rPr>
      </w:pPr>
    </w:p>
    <w:p w:rsidR="00787540" w:rsidRPr="005E41CF" w:rsidP="00444FE1">
      <w:pPr>
        <w:jc w:val="center"/>
        <w:rPr>
          <w:b/>
          <w:bCs/>
          <w:sz w:val="24"/>
          <w:szCs w:val="24"/>
        </w:rPr>
      </w:pPr>
      <w:r w:rsidRPr="005E41CF">
        <w:rPr>
          <w:b/>
          <w:bCs/>
          <w:sz w:val="24"/>
          <w:szCs w:val="24"/>
        </w:rPr>
        <w:t>PYTANIA NA EGZAMIN DYPLOMOWY,</w:t>
      </w:r>
      <w:r w:rsidR="005E41CF">
        <w:rPr>
          <w:b/>
          <w:bCs/>
          <w:sz w:val="24"/>
          <w:szCs w:val="24"/>
        </w:rPr>
        <w:t xml:space="preserve"> STUDIA I STOPNIA LICENCJACKIE</w:t>
      </w:r>
    </w:p>
    <w:p w:rsidR="00787540" w:rsidRPr="005E41CF" w:rsidP="00444FE1">
      <w:pPr>
        <w:jc w:val="center"/>
        <w:rPr>
          <w:b/>
          <w:bCs/>
          <w:sz w:val="24"/>
          <w:szCs w:val="24"/>
        </w:rPr>
      </w:pPr>
      <w:r w:rsidRPr="005E41CF">
        <w:rPr>
          <w:b/>
          <w:bCs/>
          <w:sz w:val="24"/>
          <w:szCs w:val="24"/>
        </w:rPr>
        <w:t>KIERUNEK MATEMATYKA</w:t>
      </w:r>
    </w:p>
    <w:p w:rsidR="00444FE1" w:rsidRPr="005E41CF" w:rsidP="00444FE1">
      <w:pPr>
        <w:jc w:val="center"/>
        <w:rPr>
          <w:b/>
          <w:bCs/>
          <w:sz w:val="24"/>
          <w:szCs w:val="24"/>
        </w:rPr>
      </w:pPr>
      <w:r w:rsidRPr="005E41CF">
        <w:rPr>
          <w:b/>
          <w:bCs/>
          <w:sz w:val="24"/>
          <w:szCs w:val="24"/>
        </w:rPr>
        <w:t>SPECJALNOŚ</w:t>
      </w:r>
      <w:r w:rsidRPr="005E41CF">
        <w:rPr>
          <w:rFonts w:ascii="CMR12" w:hAnsi="CMR12"/>
          <w:b/>
          <w:bCs/>
          <w:sz w:val="24"/>
          <w:szCs w:val="24"/>
        </w:rPr>
        <w:t>Ć</w:t>
      </w:r>
      <w:r w:rsidRPr="005E41CF">
        <w:rPr>
          <w:b/>
          <w:bCs/>
          <w:sz w:val="24"/>
          <w:szCs w:val="24"/>
        </w:rPr>
        <w:t xml:space="preserve"> MATEMATYKA FINANSOWO-UBEZPIECZENIOWA </w:t>
      </w:r>
    </w:p>
    <w:p w:rsidR="00444FE1" w:rsidRPr="005E41CF" w:rsidP="00444FE1">
      <w:pPr>
        <w:jc w:val="center"/>
        <w:rPr>
          <w:b/>
          <w:bCs/>
          <w:sz w:val="24"/>
          <w:szCs w:val="24"/>
        </w:rPr>
      </w:pPr>
      <w:r w:rsidRPr="005E41CF">
        <w:rPr>
          <w:b/>
          <w:bCs/>
          <w:sz w:val="24"/>
          <w:szCs w:val="24"/>
        </w:rPr>
        <w:t>(obowiązuje od 1 czerwca 2021)</w:t>
      </w:r>
    </w:p>
    <w:p w:rsidR="00444FE1" w:rsidRPr="005E41CF" w:rsidP="00444FE1">
      <w:pPr>
        <w:jc w:val="center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Pojęcie funkcji.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Relacje równoważności (definicja, klasy abstrakcji, przykłady)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Zbiory przeliczalne (definicja, przykłady i kontrprzykłady, własności)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Zbiory mocy kontinuum (przykłady, własności)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Ciało liczb zespolonych – wprowadzenie, postać algebraiczna i trygonometryczna liczby.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Pojęcie przestrzeni wektorowej – definicja, przykłady.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Baza i wymiar przestrzeni wektorowej.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Homomorfizm liniowy przestrzeni wektorowych, jego jądro i obraz.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Wektory i wartości własne.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Własności wyznaczników.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Układy równań liniowych – istnienie rozwiązań.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Funkcjonał dwuliniowy, iloczyn skalarny – definicja, przykłady, macierz funkcjonału w bazie skończonej.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Ciąg liczbowy i jego granica, liczba </w:t>
      </w:r>
      <w:r w:rsidRPr="005E41CF">
        <w:rPr>
          <w:i/>
          <w:iCs/>
          <w:sz w:val="24"/>
          <w:szCs w:val="24"/>
        </w:rPr>
        <w:t>e</w:t>
      </w:r>
      <w:r w:rsidRPr="005E41CF">
        <w:rPr>
          <w:sz w:val="24"/>
          <w:szCs w:val="24"/>
        </w:rPr>
        <w:t>. Twierdzenia o działaniach na ciągach i ich granicach, twierdzenie o trzech ciągach.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Wybrane kryteria zbieżności szeregów liczbowych.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Granica i ciągłość funkcji. Działania na funkcjach ciągłych i ich złożenie.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Własność </w:t>
      </w:r>
      <w:r w:rsidRPr="005E41CF">
        <w:rPr>
          <w:sz w:val="24"/>
          <w:szCs w:val="24"/>
        </w:rPr>
        <w:t>Darboux</w:t>
      </w:r>
      <w:r w:rsidRPr="005E41CF">
        <w:rPr>
          <w:sz w:val="24"/>
          <w:szCs w:val="24"/>
        </w:rPr>
        <w:t xml:space="preserve"> funkcji ciągłych.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Pochodna funkcji jednej zmiennej. Interpretacja geometryczna i wybrane fizyczne.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Twierdzenia </w:t>
      </w:r>
      <w:r w:rsidRPr="005E41CF">
        <w:rPr>
          <w:sz w:val="24"/>
          <w:szCs w:val="24"/>
        </w:rPr>
        <w:t>Rolle’a</w:t>
      </w:r>
      <w:r w:rsidRPr="005E41CF">
        <w:rPr>
          <w:sz w:val="24"/>
          <w:szCs w:val="24"/>
        </w:rPr>
        <w:t xml:space="preserve"> i </w:t>
      </w:r>
      <w:r w:rsidRPr="005E41CF">
        <w:rPr>
          <w:sz w:val="24"/>
          <w:szCs w:val="24"/>
        </w:rPr>
        <w:t>Lagrange’a</w:t>
      </w:r>
      <w:r w:rsidRPr="005E41CF">
        <w:rPr>
          <w:sz w:val="24"/>
          <w:szCs w:val="24"/>
        </w:rPr>
        <w:t xml:space="preserve"> o wartości średniej;</w:t>
      </w:r>
      <w:r w:rsidRPr="005E41CF">
        <w:rPr>
          <w:color w:val="2F5496" w:themeColor="accent5" w:themeShade="BF"/>
          <w:sz w:val="24"/>
          <w:szCs w:val="24"/>
        </w:rPr>
        <w:t xml:space="preserve"> </w:t>
      </w:r>
      <w:r w:rsidRPr="005E41CF">
        <w:rPr>
          <w:sz w:val="24"/>
          <w:szCs w:val="24"/>
        </w:rPr>
        <w:t xml:space="preserve">wzór </w:t>
      </w:r>
      <w:r w:rsidRPr="005E41CF">
        <w:rPr>
          <w:sz w:val="24"/>
          <w:szCs w:val="24"/>
        </w:rPr>
        <w:t>Cauchy’ego</w:t>
      </w:r>
      <w:r w:rsidRPr="005E41CF">
        <w:rPr>
          <w:color w:val="2F5496" w:themeColor="accent5" w:themeShade="BF"/>
          <w:sz w:val="24"/>
          <w:szCs w:val="24"/>
        </w:rPr>
        <w:t>.</w:t>
      </w:r>
      <w:r w:rsidRPr="005E41CF">
        <w:rPr>
          <w:sz w:val="24"/>
          <w:szCs w:val="24"/>
        </w:rPr>
        <w:t xml:space="preserve">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Ekstrema funkcji jednej zmiennej, warunki konieczne i dostateczne.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Wzór Taylora dla funkcji jednej zmiennej.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Całka Riemanna, jej własności, warunki dostateczne całkowalności.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Podstawowe twierdzenie analizy: związek między funkcją pierwotną, a całką oznaczoną.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Pochodne funkcji wielu zmiennych. Pochodne cząstkowe i kierunkowe.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Rozwinięcia Taylora.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Twierdzenie o funkcji uwikłanej i lokalnym odwracaniu </w:t>
      </w:r>
      <w:r w:rsidRPr="005E41CF">
        <w:rPr>
          <w:sz w:val="24"/>
          <w:szCs w:val="24"/>
        </w:rPr>
        <w:t>odwzorowań</w:t>
      </w:r>
      <w:r w:rsidRPr="005E41CF">
        <w:rPr>
          <w:sz w:val="24"/>
          <w:szCs w:val="24"/>
        </w:rPr>
        <w:t xml:space="preserve">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Ekstrema funkcji wielu zmiennych.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Twierdzenia Greena, </w:t>
      </w:r>
      <w:r w:rsidRPr="005E41CF">
        <w:rPr>
          <w:sz w:val="24"/>
          <w:szCs w:val="24"/>
        </w:rPr>
        <w:t>Stokes’a</w:t>
      </w:r>
      <w:r w:rsidRPr="005E41CF">
        <w:rPr>
          <w:sz w:val="24"/>
          <w:szCs w:val="24"/>
        </w:rPr>
        <w:t xml:space="preserve"> i Gaussa.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Pojęcie całki </w:t>
      </w:r>
      <w:r w:rsidRPr="005E41CF">
        <w:rPr>
          <w:sz w:val="24"/>
          <w:szCs w:val="24"/>
        </w:rPr>
        <w:t>Lebesgue’a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Miara </w:t>
      </w:r>
      <w:r w:rsidRPr="005E41CF">
        <w:rPr>
          <w:sz w:val="24"/>
          <w:szCs w:val="24"/>
        </w:rPr>
        <w:t>Lebesgue’a</w:t>
      </w:r>
      <w:r w:rsidRPr="005E41CF">
        <w:rPr>
          <w:sz w:val="24"/>
          <w:szCs w:val="24"/>
        </w:rPr>
        <w:t xml:space="preserve"> na przestrzeni euklidesowej.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Miary produktowe i twierdzenie Fubiniego.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Grupa, podgrupa, twierdzenie </w:t>
      </w:r>
      <w:r w:rsidRPr="005E41CF">
        <w:rPr>
          <w:sz w:val="24"/>
          <w:szCs w:val="24"/>
        </w:rPr>
        <w:t>Lagrange’a</w:t>
      </w:r>
      <w:r w:rsidRPr="005E41CF">
        <w:rPr>
          <w:sz w:val="24"/>
          <w:szCs w:val="24"/>
        </w:rPr>
        <w:t xml:space="preserve"> o rzędzie podgrupy.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Grupa przekształceń, grupa permutacji, twierdzenie </w:t>
      </w:r>
      <w:r w:rsidRPr="005E41CF">
        <w:rPr>
          <w:sz w:val="24"/>
          <w:szCs w:val="24"/>
        </w:rPr>
        <w:t>Cayleya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Pierścień, dzielniki zera i elementy odwracalne.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Definicja i własności inwersji względem okręgu.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Twierdzenia </w:t>
      </w:r>
      <w:r w:rsidRPr="005E41CF">
        <w:rPr>
          <w:sz w:val="24"/>
          <w:szCs w:val="24"/>
        </w:rPr>
        <w:t>Cevy</w:t>
      </w:r>
      <w:r w:rsidRPr="005E41CF">
        <w:rPr>
          <w:sz w:val="24"/>
          <w:szCs w:val="24"/>
        </w:rPr>
        <w:t xml:space="preserve"> i Menelausa.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3"/>
          <w:cols w:space="708"/>
          <w:titlePg w:val="0"/>
          <w:docGrid w:linePitch="360"/>
        </w:sectPr>
      </w:pPr>
      <w:r w:rsidRPr="005E41CF">
        <w:rPr>
          <w:sz w:val="24"/>
          <w:szCs w:val="24"/>
        </w:rPr>
        <w:t>Klasyfikacja krzywych stożkowych.</w:t>
      </w:r>
    </w:p>
    <w:p w:rsidR="00444FE1" w:rsidRPr="005E41CF" w:rsidP="00444FE1">
      <w:pPr>
        <w:numPr>
          <w:ilvl w:val="0"/>
          <w:numId w:val="47"/>
        </w:numPr>
        <w:spacing w:before="0"/>
        <w:jc w:val="both"/>
        <w:rPr>
          <w:sz w:val="24"/>
          <w:szCs w:val="24"/>
        </w:rPr>
      </w:pPr>
      <w:r w:rsidRPr="005E41CF">
        <w:rPr>
          <w:sz w:val="24"/>
          <w:szCs w:val="24"/>
        </w:rPr>
        <w:t>Wielościany foremne.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Przestrzeń metryczna, zbiory otwarte i domknięte w tej przestrzeni.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Wnętrze, domknięcie i brzeg zbioru.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Zwartość przestrzeni metrycznych.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Definicja i przykład przestrzeni probabilistycznej.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Zmienna losowa i dystrybuanta. Przykład zmiennej typu skokowego i ciągłego.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Rozkład Poissona i rozkład normalny.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Wartość oczekiwana, wariancja.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Centralne twierdzenie graniczne.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Twierdzenie o istnieniu i jednoznaczności rozwiązania zagadnienia </w:t>
      </w:r>
      <w:r w:rsidRPr="005E41CF">
        <w:rPr>
          <w:sz w:val="24"/>
          <w:szCs w:val="24"/>
        </w:rPr>
        <w:t>Cauchy’ego</w:t>
      </w:r>
      <w:r w:rsidRPr="005E41CF">
        <w:rPr>
          <w:sz w:val="24"/>
          <w:szCs w:val="24"/>
        </w:rPr>
        <w:t xml:space="preserve"> dla układu równań różniczkowych zwyczajnych.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Równanie różniczkowe liniowe o stałych współczynnikach.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Metoda uzmiennia stałych.</w:t>
      </w:r>
    </w:p>
    <w:p w:rsidR="00444FE1" w:rsidRPr="005E41CF" w:rsidP="00444FE1">
      <w:pPr>
        <w:ind w:left="360"/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Krzywizna i skręcenie krzywej w R</w:t>
      </w:r>
      <w:r w:rsidRPr="005E41CF">
        <w:rPr>
          <w:sz w:val="24"/>
          <w:szCs w:val="24"/>
          <w:vertAlign w:val="superscript"/>
        </w:rPr>
        <w:t>3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Pierwsza forma kwadratowa powierzchni w R</w:t>
      </w:r>
      <w:r w:rsidRPr="005E41CF">
        <w:rPr>
          <w:sz w:val="24"/>
          <w:szCs w:val="24"/>
          <w:vertAlign w:val="superscript"/>
        </w:rPr>
        <w:t>3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Druga forma kwadratowa powierzchni w R</w:t>
      </w:r>
      <w:r w:rsidRPr="005E41CF">
        <w:rPr>
          <w:sz w:val="24"/>
          <w:szCs w:val="24"/>
          <w:vertAlign w:val="superscript"/>
        </w:rPr>
        <w:t>3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Krzywizna Gaussa powierzchni w R</w:t>
      </w:r>
      <w:r w:rsidRPr="005E41CF">
        <w:rPr>
          <w:sz w:val="24"/>
          <w:szCs w:val="24"/>
          <w:vertAlign w:val="superscript"/>
        </w:rPr>
        <w:t>3</w:t>
      </w:r>
      <w:r w:rsidRPr="005E41CF">
        <w:rPr>
          <w:sz w:val="24"/>
          <w:szCs w:val="24"/>
        </w:rPr>
        <w:t>.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Rodzaje oprocentowania: czynniki akumulacji i dyskonta, nominalne i efektywne stopy procentowe, natężenie oprocentowania.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Rachunek rent: renty proste i uogólnione, renty płatne w sposób ciągły, renta wieczysta.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Konstrukcja modelu demograficznego w ubezpieczeniach na życie. Podstawowe rodzaje ubezpieczeń.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Konstrukcje podstawowych modeli w ubezpieczeniach majątkowych.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Wymień i krótko opisz korzyści, jakie daje dywersyfikacja portfela inwestycyjnego. </w:t>
      </w:r>
    </w:p>
    <w:p w:rsidR="00444FE1" w:rsidRPr="005E41CF" w:rsidP="00444FE1">
      <w:pPr>
        <w:numPr>
          <w:ilvl w:val="0"/>
          <w:numId w:val="47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Podaj przykłady, i krótko je opisz, aktywów jakie mogą wchodzić w skład portfela inwestycyjnego. </w:t>
      </w: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jc w:val="both"/>
        <w:rPr>
          <w:sz w:val="24"/>
          <w:szCs w:val="24"/>
        </w:rPr>
      </w:pPr>
    </w:p>
    <w:p w:rsidR="00444FE1" w:rsidRPr="005E41CF" w:rsidP="00444FE1">
      <w:pPr>
        <w:rPr>
          <w:sz w:val="24"/>
          <w:szCs w:val="24"/>
        </w:rPr>
      </w:pPr>
    </w:p>
    <w:p w:rsidR="00444FE1" w:rsidRPr="005E41CF" w:rsidP="00444FE1">
      <w:p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UWAGI. </w:t>
      </w:r>
    </w:p>
    <w:p w:rsidR="00444FE1" w:rsidRPr="005E41CF" w:rsidP="00444FE1">
      <w:pPr>
        <w:numPr>
          <w:ilvl w:val="1"/>
          <w:numId w:val="48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>Zakres 1 – 45 jak dla specjalności nauczycielskiej.</w:t>
      </w:r>
    </w:p>
    <w:p w:rsidR="00444FE1" w:rsidRPr="005E41CF" w:rsidP="00444FE1">
      <w:pPr>
        <w:numPr>
          <w:ilvl w:val="1"/>
          <w:numId w:val="48"/>
        </w:numPr>
        <w:jc w:val="both"/>
        <w:rPr>
          <w:sz w:val="24"/>
          <w:szCs w:val="24"/>
        </w:rPr>
      </w:pPr>
      <w:r w:rsidRPr="005E41CF">
        <w:rPr>
          <w:sz w:val="24"/>
          <w:szCs w:val="24"/>
        </w:rPr>
        <w:t xml:space="preserve">Zakresy pytań: 1 – 4 Wstęp do logiki i teorii mnogości;  5 – 12 algebra liniowa;  13 – 30 analiza matematyczna;  31 – 33 algebra;  34 – 37 geometria (w tym analityczna);  38 – 40 topologia;  41 – 45 rachunek prawdopodobieństwa;  46 – 48 równania różniczkowe;  49 – 52 geometria różniczkowa;  53 – 58 przedmioty z grupy matematyki finansowo-ubezpieczeniowej.   </w:t>
      </w:r>
    </w:p>
    <w:p w:rsidR="00444FE1" w:rsidRPr="0019462C" w:rsidP="00B85B88">
      <w:pPr>
        <w:jc w:val="both"/>
        <w:rPr>
          <w:sz w:val="28"/>
        </w:rPr>
      </w:pPr>
    </w:p>
    <w:p w:rsidR="0029237A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p w:rsidR="002648C0" w:rsidRPr="0019462C" w:rsidP="00361CA7">
      <w:pPr>
        <w:jc w:val="center"/>
        <w:rPr>
          <w:sz w:val="28"/>
        </w:rPr>
      </w:pPr>
    </w:p>
    <w:sectPr w:rsidSect="00261E7D">
      <w:pgSz w:w="11906" w:h="16838"/>
      <w:pgMar w:top="1417" w:right="1417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