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D3" w:rsidRPr="00525383" w:rsidRDefault="00525383" w:rsidP="002536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5383">
        <w:rPr>
          <w:rFonts w:ascii="Times New Roman" w:hAnsi="Times New Roman" w:cs="Times New Roman"/>
          <w:b/>
          <w:sz w:val="32"/>
          <w:szCs w:val="32"/>
        </w:rPr>
        <w:t>Uniwersytet Warmińsko-Mazurski w Olsztynie</w:t>
      </w:r>
    </w:p>
    <w:p w:rsidR="00525383" w:rsidRDefault="00525383" w:rsidP="002536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5383" w:rsidRPr="00525383" w:rsidRDefault="00525383" w:rsidP="002536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383">
        <w:rPr>
          <w:rFonts w:ascii="Times New Roman" w:hAnsi="Times New Roman" w:cs="Times New Roman"/>
          <w:b/>
          <w:sz w:val="28"/>
          <w:szCs w:val="28"/>
        </w:rPr>
        <w:t>Wydział Matematyki i Informatyki</w:t>
      </w:r>
    </w:p>
    <w:p w:rsidR="00525383" w:rsidRDefault="00525383">
      <w:pPr>
        <w:rPr>
          <w:rFonts w:ascii="Times New Roman" w:hAnsi="Times New Roman" w:cs="Times New Roman"/>
          <w:sz w:val="24"/>
          <w:szCs w:val="24"/>
        </w:rPr>
      </w:pPr>
    </w:p>
    <w:p w:rsidR="00525383" w:rsidRDefault="00525383">
      <w:pPr>
        <w:rPr>
          <w:rFonts w:ascii="Times New Roman" w:hAnsi="Times New Roman" w:cs="Times New Roman"/>
          <w:sz w:val="24"/>
          <w:szCs w:val="24"/>
        </w:rPr>
      </w:pPr>
    </w:p>
    <w:p w:rsidR="00525383" w:rsidRDefault="00525383">
      <w:pPr>
        <w:rPr>
          <w:rFonts w:ascii="Times New Roman" w:hAnsi="Times New Roman" w:cs="Times New Roman"/>
          <w:sz w:val="24"/>
          <w:szCs w:val="24"/>
        </w:rPr>
      </w:pPr>
    </w:p>
    <w:p w:rsidR="00525383" w:rsidRDefault="00525383">
      <w:pPr>
        <w:rPr>
          <w:rFonts w:ascii="Times New Roman" w:hAnsi="Times New Roman" w:cs="Times New Roman"/>
          <w:sz w:val="24"/>
          <w:szCs w:val="24"/>
        </w:rPr>
      </w:pPr>
    </w:p>
    <w:p w:rsidR="00525383" w:rsidRDefault="00525383">
      <w:pPr>
        <w:rPr>
          <w:rFonts w:ascii="Times New Roman" w:hAnsi="Times New Roman" w:cs="Times New Roman"/>
          <w:sz w:val="24"/>
          <w:szCs w:val="24"/>
        </w:rPr>
      </w:pPr>
    </w:p>
    <w:p w:rsidR="00525383" w:rsidRPr="00525383" w:rsidRDefault="00525383" w:rsidP="005253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383">
        <w:rPr>
          <w:rFonts w:ascii="Times New Roman" w:hAnsi="Times New Roman" w:cs="Times New Roman"/>
          <w:b/>
          <w:sz w:val="24"/>
          <w:szCs w:val="24"/>
        </w:rPr>
        <w:t>Sprawozdanie z badania ankietowego</w:t>
      </w:r>
    </w:p>
    <w:p w:rsidR="00525383" w:rsidRPr="00525383" w:rsidRDefault="00525383" w:rsidP="005253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383">
        <w:rPr>
          <w:rFonts w:ascii="Times New Roman" w:hAnsi="Times New Roman" w:cs="Times New Roman"/>
          <w:b/>
          <w:sz w:val="24"/>
          <w:szCs w:val="24"/>
        </w:rPr>
        <w:t>„Jakość realizacji zajęć dydaktycznych”</w:t>
      </w:r>
    </w:p>
    <w:p w:rsidR="00525383" w:rsidRPr="00525383" w:rsidRDefault="00525383" w:rsidP="005253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383">
        <w:rPr>
          <w:rFonts w:ascii="Times New Roman" w:hAnsi="Times New Roman" w:cs="Times New Roman"/>
          <w:b/>
          <w:sz w:val="24"/>
          <w:szCs w:val="24"/>
        </w:rPr>
        <w:t>przeprowadzonego na Wydziale Matematyki i Informatyki</w:t>
      </w:r>
    </w:p>
    <w:p w:rsidR="00525383" w:rsidRPr="00525383" w:rsidRDefault="00525383" w:rsidP="005253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383">
        <w:rPr>
          <w:rFonts w:ascii="Times New Roman" w:hAnsi="Times New Roman" w:cs="Times New Roman"/>
          <w:b/>
          <w:sz w:val="24"/>
          <w:szCs w:val="24"/>
        </w:rPr>
        <w:t>w dniach 03.03.2014-16.03.2014</w:t>
      </w:r>
    </w:p>
    <w:p w:rsidR="00525383" w:rsidRDefault="00525383" w:rsidP="005253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383">
        <w:rPr>
          <w:rFonts w:ascii="Times New Roman" w:hAnsi="Times New Roman" w:cs="Times New Roman"/>
          <w:b/>
          <w:sz w:val="24"/>
          <w:szCs w:val="24"/>
        </w:rPr>
        <w:t xml:space="preserve">(ocena realizacji zajęć przeprowadzonych w semestrze zimowym </w:t>
      </w:r>
    </w:p>
    <w:p w:rsidR="00525383" w:rsidRPr="00525383" w:rsidRDefault="00525383" w:rsidP="005253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383">
        <w:rPr>
          <w:rFonts w:ascii="Times New Roman" w:hAnsi="Times New Roman" w:cs="Times New Roman"/>
          <w:b/>
          <w:sz w:val="24"/>
          <w:szCs w:val="24"/>
        </w:rPr>
        <w:t>w roku akademickim 2013/14)</w:t>
      </w:r>
    </w:p>
    <w:p w:rsidR="00525383" w:rsidRDefault="00525383">
      <w:pPr>
        <w:rPr>
          <w:rFonts w:ascii="Times New Roman" w:hAnsi="Times New Roman" w:cs="Times New Roman"/>
          <w:sz w:val="24"/>
          <w:szCs w:val="24"/>
        </w:rPr>
      </w:pPr>
    </w:p>
    <w:p w:rsidR="00525383" w:rsidRDefault="00525383">
      <w:pPr>
        <w:rPr>
          <w:rFonts w:ascii="Times New Roman" w:hAnsi="Times New Roman" w:cs="Times New Roman"/>
          <w:sz w:val="24"/>
          <w:szCs w:val="24"/>
        </w:rPr>
      </w:pPr>
    </w:p>
    <w:p w:rsidR="00525383" w:rsidRDefault="00525383">
      <w:pPr>
        <w:rPr>
          <w:rFonts w:ascii="Times New Roman" w:hAnsi="Times New Roman" w:cs="Times New Roman"/>
          <w:sz w:val="24"/>
          <w:szCs w:val="24"/>
        </w:rPr>
      </w:pPr>
    </w:p>
    <w:p w:rsidR="002536BA" w:rsidRDefault="002536BA">
      <w:pPr>
        <w:rPr>
          <w:rFonts w:ascii="Times New Roman" w:hAnsi="Times New Roman" w:cs="Times New Roman"/>
          <w:sz w:val="24"/>
          <w:szCs w:val="24"/>
        </w:rPr>
      </w:pPr>
    </w:p>
    <w:p w:rsidR="002536BA" w:rsidRDefault="002536BA">
      <w:pPr>
        <w:rPr>
          <w:rFonts w:ascii="Times New Roman" w:hAnsi="Times New Roman" w:cs="Times New Roman"/>
          <w:sz w:val="24"/>
          <w:szCs w:val="24"/>
        </w:rPr>
      </w:pPr>
    </w:p>
    <w:p w:rsidR="002536BA" w:rsidRDefault="002536BA">
      <w:pPr>
        <w:rPr>
          <w:rFonts w:ascii="Times New Roman" w:hAnsi="Times New Roman" w:cs="Times New Roman"/>
          <w:sz w:val="24"/>
          <w:szCs w:val="24"/>
        </w:rPr>
      </w:pPr>
    </w:p>
    <w:p w:rsidR="002536BA" w:rsidRDefault="002536BA">
      <w:pPr>
        <w:rPr>
          <w:rFonts w:ascii="Times New Roman" w:hAnsi="Times New Roman" w:cs="Times New Roman"/>
          <w:sz w:val="24"/>
          <w:szCs w:val="24"/>
        </w:rPr>
      </w:pPr>
    </w:p>
    <w:p w:rsidR="002536BA" w:rsidRDefault="002536BA">
      <w:pPr>
        <w:rPr>
          <w:rFonts w:ascii="Times New Roman" w:hAnsi="Times New Roman" w:cs="Times New Roman"/>
          <w:sz w:val="24"/>
          <w:szCs w:val="24"/>
        </w:rPr>
      </w:pPr>
    </w:p>
    <w:p w:rsidR="002536BA" w:rsidRDefault="002536BA">
      <w:pPr>
        <w:rPr>
          <w:rFonts w:ascii="Times New Roman" w:hAnsi="Times New Roman" w:cs="Times New Roman"/>
          <w:sz w:val="24"/>
          <w:szCs w:val="24"/>
        </w:rPr>
      </w:pPr>
    </w:p>
    <w:p w:rsidR="00525383" w:rsidRDefault="00525383" w:rsidP="002536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Olsztyn, marzec 2014</w:t>
      </w:r>
      <w:r w:rsidR="0002168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705C0" w:rsidRDefault="00870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25383" w:rsidRPr="0004793D" w:rsidRDefault="008705C0" w:rsidP="00712D7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3D">
        <w:rPr>
          <w:rFonts w:ascii="Times New Roman" w:hAnsi="Times New Roman" w:cs="Times New Roman"/>
          <w:b/>
          <w:sz w:val="28"/>
          <w:szCs w:val="28"/>
        </w:rPr>
        <w:lastRenderedPageBreak/>
        <w:t>1. Informacje wstępne</w:t>
      </w:r>
    </w:p>
    <w:p w:rsidR="008705C0" w:rsidRDefault="008705C0" w:rsidP="00712D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ABD" w:rsidRDefault="008705C0" w:rsidP="00712D7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Zarządzenia Nr 51/2013 Rektora Uniwersytetu Warmińsko-Mazurskiego w Olsztynie z dnia 31 maja 2013 roku w sprawie określenia obszarów </w:t>
      </w:r>
      <w:r w:rsidR="00F97989">
        <w:rPr>
          <w:rFonts w:ascii="Times New Roman" w:hAnsi="Times New Roman" w:cs="Times New Roman"/>
          <w:sz w:val="24"/>
          <w:szCs w:val="24"/>
        </w:rPr>
        <w:t>procesu dydaktycznego objętych badaniami ankietowymi, wzorów kwestionariuszy ankiet oraz procedur przeprowadzania badań</w:t>
      </w:r>
      <w:r w:rsidR="00613E31">
        <w:rPr>
          <w:rFonts w:ascii="Times New Roman" w:hAnsi="Times New Roman" w:cs="Times New Roman"/>
          <w:sz w:val="24"/>
          <w:szCs w:val="24"/>
        </w:rPr>
        <w:t xml:space="preserve"> ankietowych, w dniach 3.03.2014-16.03.2014</w:t>
      </w:r>
      <w:r w:rsidR="00F97989">
        <w:rPr>
          <w:rFonts w:ascii="Times New Roman" w:hAnsi="Times New Roman" w:cs="Times New Roman"/>
          <w:sz w:val="24"/>
          <w:szCs w:val="24"/>
        </w:rPr>
        <w:t xml:space="preserve"> na Wydziale Matematyki i Informatyki przeprowadzono badanie ankietowe </w:t>
      </w:r>
      <w:r w:rsidR="00272ABD">
        <w:rPr>
          <w:rFonts w:ascii="Times New Roman" w:hAnsi="Times New Roman" w:cs="Times New Roman"/>
          <w:sz w:val="24"/>
          <w:szCs w:val="24"/>
        </w:rPr>
        <w:t>„Jakość realizacji zajęć dydaktycznych” .</w:t>
      </w:r>
    </w:p>
    <w:p w:rsidR="00272ABD" w:rsidRDefault="00272ABD" w:rsidP="00712D7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Studenci studiów stacjonarnych</w:t>
      </w:r>
      <w:r w:rsidR="00AF50D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F50D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F50D8">
        <w:rPr>
          <w:rFonts w:ascii="Times New Roman" w:hAnsi="Times New Roman" w:cs="Times New Roman"/>
          <w:sz w:val="24"/>
          <w:szCs w:val="24"/>
        </w:rPr>
        <w:t xml:space="preserve"> II stopnia</w:t>
      </w:r>
      <w:r w:rsidR="00021684">
        <w:rPr>
          <w:rFonts w:ascii="Times New Roman" w:hAnsi="Times New Roman" w:cs="Times New Roman"/>
          <w:sz w:val="24"/>
          <w:szCs w:val="24"/>
        </w:rPr>
        <w:t xml:space="preserve"> na kierunkach Matematyka i </w:t>
      </w:r>
      <w:r>
        <w:rPr>
          <w:rFonts w:ascii="Times New Roman" w:hAnsi="Times New Roman" w:cs="Times New Roman"/>
          <w:sz w:val="24"/>
          <w:szCs w:val="24"/>
        </w:rPr>
        <w:t>Informatyka, oraz studenci studiów niestacjonarnych</w:t>
      </w:r>
      <w:r w:rsidR="00AF50D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F50D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F50D8">
        <w:rPr>
          <w:rFonts w:ascii="Times New Roman" w:hAnsi="Times New Roman" w:cs="Times New Roman"/>
          <w:sz w:val="24"/>
          <w:szCs w:val="24"/>
        </w:rPr>
        <w:t xml:space="preserve"> II stopnia</w:t>
      </w:r>
      <w:r>
        <w:rPr>
          <w:rFonts w:ascii="Times New Roman" w:hAnsi="Times New Roman" w:cs="Times New Roman"/>
          <w:sz w:val="24"/>
          <w:szCs w:val="24"/>
        </w:rPr>
        <w:t xml:space="preserve"> na kierunku Informatyka ocenili jakość realizowanych zajęć dydaktycznych przeprowadzonych w semestrze zimowym w roku akademickim 2013/14.</w:t>
      </w:r>
    </w:p>
    <w:p w:rsidR="00AF50D8" w:rsidRDefault="00AF50D8" w:rsidP="00712D7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20.03.2014 Wydział otrzymał Raport ogólny (BKsz.0020.JKsz.34.2014)  dotyczący rozkładu dziennego udziału osób w ankiecie, a także danych liczbowych dotyczących liczby ankiet, zajęć i nauczycieli akademickich prowadzących ocenione zajęcia oraz osób, które wzięły udział w badaniu.</w:t>
      </w:r>
    </w:p>
    <w:p w:rsidR="001D53D0" w:rsidRDefault="001D53D0" w:rsidP="00712D7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ankiet zostały opublikowane na kontach respondentów oraz ocenianych nauczycieli akademickich w systemie USOS.</w:t>
      </w:r>
    </w:p>
    <w:p w:rsidR="0004793D" w:rsidRDefault="0004793D" w:rsidP="000479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4C4" w:rsidRDefault="00EE54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4793D" w:rsidRPr="0004793D" w:rsidRDefault="0004793D" w:rsidP="000479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3D">
        <w:rPr>
          <w:rFonts w:ascii="Times New Roman" w:hAnsi="Times New Roman" w:cs="Times New Roman"/>
          <w:b/>
          <w:sz w:val="28"/>
          <w:szCs w:val="28"/>
        </w:rPr>
        <w:lastRenderedPageBreak/>
        <w:t>2. Analiza wyników</w:t>
      </w:r>
    </w:p>
    <w:p w:rsidR="0004793D" w:rsidRDefault="0004793D" w:rsidP="0004793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Analizę przeprowadzono na podstawie danych wygenerowanych z systemu USOS.</w:t>
      </w:r>
    </w:p>
    <w:p w:rsidR="0004793D" w:rsidRDefault="0004793D" w:rsidP="000479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93D" w:rsidRPr="005C7F44" w:rsidRDefault="0004793D" w:rsidP="000479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F44">
        <w:rPr>
          <w:rFonts w:ascii="Times New Roman" w:hAnsi="Times New Roman" w:cs="Times New Roman"/>
          <w:b/>
          <w:sz w:val="28"/>
          <w:szCs w:val="28"/>
        </w:rPr>
        <w:t>2.1. Analiza frekwencji</w:t>
      </w:r>
      <w:r w:rsidR="005A1905" w:rsidRPr="005C7F44">
        <w:rPr>
          <w:rFonts w:ascii="Times New Roman" w:hAnsi="Times New Roman" w:cs="Times New Roman"/>
          <w:b/>
          <w:sz w:val="28"/>
          <w:szCs w:val="28"/>
        </w:rPr>
        <w:t xml:space="preserve"> – dane ogólne</w:t>
      </w:r>
    </w:p>
    <w:p w:rsidR="00DE5B94" w:rsidRDefault="00DE5B94" w:rsidP="000479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 podstawie stabelaryzowanych danych zamieszczonych w Raporcie ogólnym:</w:t>
      </w:r>
    </w:p>
    <w:p w:rsidR="00DE5B94" w:rsidRDefault="00DE5B94" w:rsidP="00DE5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studentów uprawnionych do wypełnienia przynajmniej jednej ankiety – 1099</w:t>
      </w:r>
    </w:p>
    <w:p w:rsidR="00DE5B94" w:rsidRDefault="00DE5B94" w:rsidP="00DE5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studentów, którzy wypełnili przynajmniej jedną ankietę – 683 (62,1% uprawnionych)</w:t>
      </w:r>
    </w:p>
    <w:p w:rsidR="00DE5B94" w:rsidRDefault="00DE5B94" w:rsidP="00DE5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dostępnych ankiet – 11405</w:t>
      </w:r>
    </w:p>
    <w:p w:rsidR="00DE5B94" w:rsidRDefault="00DE5B94" w:rsidP="00DE5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wypełnionych ankiet – 6532 (57,3% wszystkich ankiet)</w:t>
      </w:r>
    </w:p>
    <w:p w:rsidR="00DE5B94" w:rsidRDefault="00DE5B94" w:rsidP="00DE5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nauczycieli akademickich prowadzących ocenione zajęcia – 81</w:t>
      </w:r>
    </w:p>
    <w:p w:rsidR="00DE5B94" w:rsidRDefault="00DE5B94" w:rsidP="00DE5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ocenionych zajęć – 200</w:t>
      </w:r>
    </w:p>
    <w:p w:rsidR="00DE5B94" w:rsidRDefault="00DE5B94" w:rsidP="00DE5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komentarzy – 297</w:t>
      </w:r>
    </w:p>
    <w:p w:rsidR="00DE5B94" w:rsidRDefault="00DE5B94" w:rsidP="00127D8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258B" w:rsidRDefault="0025258B" w:rsidP="00A054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Rozkład dziennego udziału osób, które wypełniły co najmniej jedną ankietę, wyglądał następująco:</w:t>
      </w:r>
    </w:p>
    <w:p w:rsidR="00A054CE" w:rsidRPr="00DD44CB" w:rsidRDefault="00A054CE" w:rsidP="00A054C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44CB">
        <w:rPr>
          <w:rFonts w:ascii="Times New Roman" w:hAnsi="Times New Roman" w:cs="Times New Roman"/>
          <w:b/>
          <w:i/>
          <w:sz w:val="24"/>
          <w:szCs w:val="24"/>
        </w:rPr>
        <w:t>Tabela nr 1. Rozkład dziennego udziału osób, które wypełniły co najmniej jedną ankietę</w:t>
      </w:r>
    </w:p>
    <w:tbl>
      <w:tblPr>
        <w:tblW w:w="5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1435"/>
        <w:gridCol w:w="2020"/>
      </w:tblGrid>
      <w:tr w:rsidR="0025258B" w:rsidRPr="0025258B" w:rsidTr="00176F52">
        <w:trPr>
          <w:trHeight w:val="244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8B" w:rsidRPr="0025258B" w:rsidRDefault="0025258B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 xml:space="preserve">data 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58B" w:rsidRPr="0025258B" w:rsidRDefault="0025258B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>liczba osób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58B" w:rsidRPr="0025258B" w:rsidRDefault="0025258B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>udział procentowy</w:t>
            </w:r>
          </w:p>
        </w:tc>
      </w:tr>
      <w:tr w:rsidR="0025258B" w:rsidRPr="0025258B" w:rsidTr="00176F52">
        <w:trPr>
          <w:trHeight w:val="2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8B" w:rsidRPr="0025258B" w:rsidRDefault="0025258B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>2014-03-03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8B" w:rsidRPr="0025258B" w:rsidRDefault="0025258B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>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58B" w:rsidRPr="0025258B" w:rsidRDefault="0025258B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FF0000"/>
                <w:lang w:eastAsia="pl-PL"/>
              </w:rPr>
              <w:t>36,16%</w:t>
            </w:r>
          </w:p>
        </w:tc>
      </w:tr>
      <w:tr w:rsidR="0025258B" w:rsidRPr="0025258B" w:rsidTr="00176F52">
        <w:trPr>
          <w:trHeight w:val="2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8B" w:rsidRPr="0025258B" w:rsidRDefault="0025258B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>2014-03-04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8B" w:rsidRPr="0025258B" w:rsidRDefault="0025258B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>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58B" w:rsidRPr="0025258B" w:rsidRDefault="0025258B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FF0000"/>
                <w:lang w:eastAsia="pl-PL"/>
              </w:rPr>
              <w:t>12,45%</w:t>
            </w:r>
          </w:p>
        </w:tc>
      </w:tr>
      <w:tr w:rsidR="0025258B" w:rsidRPr="0025258B" w:rsidTr="00176F52">
        <w:trPr>
          <w:trHeight w:val="2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8B" w:rsidRPr="0025258B" w:rsidRDefault="0025258B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>2014-03-05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8B" w:rsidRPr="0025258B" w:rsidRDefault="0025258B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58B" w:rsidRPr="0025258B" w:rsidRDefault="0025258B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>7,61%</w:t>
            </w:r>
          </w:p>
        </w:tc>
      </w:tr>
      <w:tr w:rsidR="0025258B" w:rsidRPr="0025258B" w:rsidTr="00176F52">
        <w:trPr>
          <w:trHeight w:val="2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8B" w:rsidRPr="0025258B" w:rsidRDefault="0025258B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>2014-03-06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8B" w:rsidRPr="0025258B" w:rsidRDefault="0025258B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58B" w:rsidRPr="0025258B" w:rsidRDefault="0025258B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>1,90%</w:t>
            </w:r>
          </w:p>
        </w:tc>
      </w:tr>
      <w:tr w:rsidR="0025258B" w:rsidRPr="0025258B" w:rsidTr="00176F52">
        <w:trPr>
          <w:trHeight w:val="2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8B" w:rsidRPr="0025258B" w:rsidRDefault="0025258B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>2014-03-07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8B" w:rsidRPr="0025258B" w:rsidRDefault="0025258B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58B" w:rsidRPr="0025258B" w:rsidRDefault="0025258B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>1,76%</w:t>
            </w:r>
          </w:p>
        </w:tc>
      </w:tr>
      <w:tr w:rsidR="0025258B" w:rsidRPr="0025258B" w:rsidTr="00176F52">
        <w:trPr>
          <w:trHeight w:val="2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8B" w:rsidRPr="0025258B" w:rsidRDefault="0025258B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>2014-03-08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8B" w:rsidRPr="0025258B" w:rsidRDefault="0025258B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58B" w:rsidRPr="0025258B" w:rsidRDefault="0025258B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>5,42%</w:t>
            </w:r>
          </w:p>
        </w:tc>
      </w:tr>
      <w:tr w:rsidR="0025258B" w:rsidRPr="0025258B" w:rsidTr="00176F52">
        <w:trPr>
          <w:trHeight w:val="2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8B" w:rsidRPr="0025258B" w:rsidRDefault="0025258B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>2014-03-09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8B" w:rsidRPr="0025258B" w:rsidRDefault="0025258B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>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58B" w:rsidRPr="0025258B" w:rsidRDefault="0025258B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>7,76%</w:t>
            </w:r>
          </w:p>
        </w:tc>
      </w:tr>
      <w:tr w:rsidR="0025258B" w:rsidRPr="0025258B" w:rsidTr="00176F52">
        <w:trPr>
          <w:trHeight w:val="2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8B" w:rsidRPr="0025258B" w:rsidRDefault="0025258B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>2014-03-10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8B" w:rsidRPr="0025258B" w:rsidRDefault="0025258B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>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58B" w:rsidRPr="0025258B" w:rsidRDefault="0025258B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>6,00%</w:t>
            </w:r>
          </w:p>
        </w:tc>
      </w:tr>
      <w:tr w:rsidR="0025258B" w:rsidRPr="0025258B" w:rsidTr="00176F52">
        <w:trPr>
          <w:trHeight w:val="2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8B" w:rsidRPr="0025258B" w:rsidRDefault="0025258B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>2014-03-11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8B" w:rsidRPr="0025258B" w:rsidRDefault="0025258B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58B" w:rsidRPr="0025258B" w:rsidRDefault="0025258B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>4,83%</w:t>
            </w:r>
          </w:p>
        </w:tc>
      </w:tr>
      <w:tr w:rsidR="0025258B" w:rsidRPr="0025258B" w:rsidTr="00176F52">
        <w:trPr>
          <w:trHeight w:val="2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8B" w:rsidRPr="0025258B" w:rsidRDefault="0025258B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>2014-03-12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8B" w:rsidRPr="0025258B" w:rsidRDefault="0025258B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58B" w:rsidRPr="0025258B" w:rsidRDefault="0025258B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>5,42%</w:t>
            </w:r>
          </w:p>
        </w:tc>
      </w:tr>
      <w:tr w:rsidR="0025258B" w:rsidRPr="0025258B" w:rsidTr="00176F52">
        <w:trPr>
          <w:trHeight w:val="2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8B" w:rsidRPr="0025258B" w:rsidRDefault="0025258B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>2014-03-13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8B" w:rsidRPr="0025258B" w:rsidRDefault="0025258B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58B" w:rsidRPr="0025258B" w:rsidRDefault="0025258B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>5,56%</w:t>
            </w:r>
          </w:p>
        </w:tc>
      </w:tr>
      <w:tr w:rsidR="0025258B" w:rsidRPr="0025258B" w:rsidTr="00176F52">
        <w:trPr>
          <w:trHeight w:val="2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8B" w:rsidRPr="0025258B" w:rsidRDefault="0025258B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>2014-03-14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8B" w:rsidRPr="0025258B" w:rsidRDefault="0025258B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58B" w:rsidRPr="0025258B" w:rsidRDefault="0025258B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>1,90%</w:t>
            </w:r>
          </w:p>
        </w:tc>
      </w:tr>
      <w:tr w:rsidR="0025258B" w:rsidRPr="0025258B" w:rsidTr="00176F52">
        <w:trPr>
          <w:trHeight w:val="2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8B" w:rsidRPr="0025258B" w:rsidRDefault="0025258B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>2014-03-15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8B" w:rsidRPr="0025258B" w:rsidRDefault="0025258B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58B" w:rsidRPr="0025258B" w:rsidRDefault="0025258B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>1,90%</w:t>
            </w:r>
          </w:p>
        </w:tc>
      </w:tr>
      <w:tr w:rsidR="0025258B" w:rsidRPr="0025258B" w:rsidTr="00176F5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8B" w:rsidRPr="0025258B" w:rsidRDefault="0025258B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>2014-03-16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8B" w:rsidRPr="0025258B" w:rsidRDefault="0025258B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58B" w:rsidRPr="0025258B" w:rsidRDefault="0025258B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>1,32%</w:t>
            </w:r>
          </w:p>
        </w:tc>
      </w:tr>
    </w:tbl>
    <w:p w:rsidR="008D1887" w:rsidRPr="008D1887" w:rsidRDefault="008D1887" w:rsidP="00A054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887">
        <w:rPr>
          <w:rFonts w:ascii="Times New Roman" w:hAnsi="Times New Roman" w:cs="Times New Roman"/>
          <w:b/>
          <w:sz w:val="24"/>
          <w:szCs w:val="24"/>
        </w:rPr>
        <w:t>RAZEM : 683 osoby</w:t>
      </w:r>
    </w:p>
    <w:p w:rsidR="00A054CE" w:rsidRDefault="00A054CE" w:rsidP="00A054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Analiza tabeli nr 1 pokazuje, że prawie połowa (48,61%) respondentów wypełniło (lub zaczęło wypełniać ankiety) w ciągu dwóch pierwszych dni trwania badania. Najwięcej respondentów wypełniało ankietę pierwszego dnia trwania badania (3.03.2014), najmniej zaś ostatniego dnia badania (16.03.2014).</w:t>
      </w:r>
      <w:r w:rsidR="00A2035A">
        <w:rPr>
          <w:rFonts w:ascii="Times New Roman" w:hAnsi="Times New Roman" w:cs="Times New Roman"/>
          <w:sz w:val="24"/>
          <w:szCs w:val="24"/>
        </w:rPr>
        <w:t xml:space="preserve"> Zaskakuje fakt, że u studentów nie zaobserwowano „syndromu studenta” </w:t>
      </w:r>
      <w:r w:rsidR="00DF122C">
        <w:rPr>
          <w:rFonts w:ascii="Times New Roman" w:hAnsi="Times New Roman" w:cs="Times New Roman"/>
          <w:sz w:val="24"/>
          <w:szCs w:val="24"/>
        </w:rPr>
        <w:t xml:space="preserve"> </w:t>
      </w:r>
      <w:r w:rsidR="00A2035A">
        <w:rPr>
          <w:rFonts w:ascii="Times New Roman" w:hAnsi="Times New Roman" w:cs="Times New Roman"/>
          <w:sz w:val="24"/>
          <w:szCs w:val="24"/>
        </w:rPr>
        <w:t>(zostawiania zadania na ostatnią chwilę)</w:t>
      </w:r>
      <w:r w:rsidR="00A047BB">
        <w:rPr>
          <w:rFonts w:ascii="Times New Roman" w:hAnsi="Times New Roman" w:cs="Times New Roman"/>
          <w:sz w:val="24"/>
          <w:szCs w:val="24"/>
        </w:rPr>
        <w:t xml:space="preserve"> - w ciągu pierwszego tygodnia ankietę wypełniło 73,06% respondentów (45,4% wszystkich uprawnionych do wypełnienia ankiety). Frekwencję studentów Wydziału Matematyki i Informatyki uznać można za więcej niż zada</w:t>
      </w:r>
      <w:r w:rsidR="005111DB">
        <w:rPr>
          <w:rFonts w:ascii="Times New Roman" w:hAnsi="Times New Roman" w:cs="Times New Roman"/>
          <w:sz w:val="24"/>
          <w:szCs w:val="24"/>
        </w:rPr>
        <w:t>walającą</w:t>
      </w:r>
      <w:r w:rsidR="00A047BB">
        <w:rPr>
          <w:rFonts w:ascii="Times New Roman" w:hAnsi="Times New Roman" w:cs="Times New Roman"/>
          <w:sz w:val="24"/>
          <w:szCs w:val="24"/>
        </w:rPr>
        <w:t xml:space="preserve">.  </w:t>
      </w:r>
      <w:r w:rsidR="005111DB">
        <w:rPr>
          <w:rFonts w:ascii="Times New Roman" w:hAnsi="Times New Roman" w:cs="Times New Roman"/>
          <w:sz w:val="24"/>
          <w:szCs w:val="24"/>
        </w:rPr>
        <w:t>Świadczy to między innymi o dobrej współpracy władz Wydziału z samorządem studenckim, a także odpowiedzialności i dojrzałości znacznej części studentów na Wydziale.</w:t>
      </w:r>
    </w:p>
    <w:p w:rsidR="00AB0E2B" w:rsidRPr="007B0B84" w:rsidRDefault="007B0B84" w:rsidP="00A054C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0B84">
        <w:rPr>
          <w:rFonts w:ascii="Times New Roman" w:hAnsi="Times New Roman" w:cs="Times New Roman"/>
          <w:b/>
          <w:i/>
          <w:sz w:val="24"/>
          <w:szCs w:val="24"/>
        </w:rPr>
        <w:t>Tabela nr 2. Rozkład liczby wypełnionych ankiet</w:t>
      </w:r>
    </w:p>
    <w:tbl>
      <w:tblPr>
        <w:tblW w:w="5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1718"/>
        <w:gridCol w:w="2020"/>
      </w:tblGrid>
      <w:tr w:rsidR="004D5C31" w:rsidRPr="004D5C31" w:rsidTr="004D5C31">
        <w:trPr>
          <w:trHeight w:val="28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31" w:rsidRPr="004D5C31" w:rsidRDefault="004D5C31" w:rsidP="004D5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5C31">
              <w:rPr>
                <w:rFonts w:ascii="Arial" w:eastAsia="Times New Roman" w:hAnsi="Arial" w:cs="Arial"/>
                <w:color w:val="000000"/>
                <w:lang w:eastAsia="pl-PL"/>
              </w:rPr>
              <w:t xml:space="preserve">data 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31" w:rsidRPr="004D5C31" w:rsidRDefault="004D5C31" w:rsidP="004D5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5C31">
              <w:rPr>
                <w:rFonts w:ascii="Arial" w:eastAsia="Times New Roman" w:hAnsi="Arial" w:cs="Arial"/>
                <w:color w:val="000000"/>
                <w:lang w:eastAsia="pl-PL"/>
              </w:rPr>
              <w:t>liczba ankiet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C31" w:rsidRPr="004D5C31" w:rsidRDefault="004D5C31" w:rsidP="004D5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5C31">
              <w:rPr>
                <w:rFonts w:ascii="Arial" w:eastAsia="Times New Roman" w:hAnsi="Arial" w:cs="Arial"/>
                <w:color w:val="000000"/>
                <w:lang w:eastAsia="pl-PL"/>
              </w:rPr>
              <w:t>udział procentowy</w:t>
            </w:r>
          </w:p>
        </w:tc>
      </w:tr>
      <w:tr w:rsidR="004D5C31" w:rsidRPr="004D5C31" w:rsidTr="004D5C31">
        <w:trPr>
          <w:trHeight w:val="2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31" w:rsidRPr="004D5C31" w:rsidRDefault="004D5C31" w:rsidP="004D5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5C31">
              <w:rPr>
                <w:rFonts w:ascii="Arial" w:eastAsia="Times New Roman" w:hAnsi="Arial" w:cs="Arial"/>
                <w:color w:val="000000"/>
                <w:lang w:eastAsia="pl-PL"/>
              </w:rPr>
              <w:t>2014-03-03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31" w:rsidRPr="004D5C31" w:rsidRDefault="004D5C31" w:rsidP="004D5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5C31">
              <w:rPr>
                <w:rFonts w:ascii="Arial" w:eastAsia="Times New Roman" w:hAnsi="Arial" w:cs="Arial"/>
                <w:color w:val="000000"/>
                <w:lang w:eastAsia="pl-PL"/>
              </w:rPr>
              <w:t>2113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C31" w:rsidRPr="004D5C31" w:rsidRDefault="004D5C31" w:rsidP="004D5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4D5C31">
              <w:rPr>
                <w:rFonts w:ascii="Arial" w:eastAsia="Times New Roman" w:hAnsi="Arial" w:cs="Arial"/>
                <w:color w:val="FF0000"/>
                <w:lang w:eastAsia="pl-PL"/>
              </w:rPr>
              <w:t>32,35%</w:t>
            </w:r>
          </w:p>
        </w:tc>
      </w:tr>
      <w:tr w:rsidR="004D5C31" w:rsidRPr="004D5C31" w:rsidTr="004D5C31">
        <w:trPr>
          <w:trHeight w:val="2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31" w:rsidRPr="004D5C31" w:rsidRDefault="004D5C31" w:rsidP="004D5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5C31">
              <w:rPr>
                <w:rFonts w:ascii="Arial" w:eastAsia="Times New Roman" w:hAnsi="Arial" w:cs="Arial"/>
                <w:color w:val="000000"/>
                <w:lang w:eastAsia="pl-PL"/>
              </w:rPr>
              <w:t>2014-03-04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31" w:rsidRPr="004D5C31" w:rsidRDefault="004D5C31" w:rsidP="004D5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5C31">
              <w:rPr>
                <w:rFonts w:ascii="Arial" w:eastAsia="Times New Roman" w:hAnsi="Arial" w:cs="Arial"/>
                <w:color w:val="000000"/>
                <w:lang w:eastAsia="pl-PL"/>
              </w:rPr>
              <w:t>744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C31" w:rsidRPr="004D5C31" w:rsidRDefault="004D5C31" w:rsidP="004D5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4D5C31">
              <w:rPr>
                <w:rFonts w:ascii="Arial" w:eastAsia="Times New Roman" w:hAnsi="Arial" w:cs="Arial"/>
                <w:color w:val="FF0000"/>
                <w:lang w:eastAsia="pl-PL"/>
              </w:rPr>
              <w:t>11,39%</w:t>
            </w:r>
          </w:p>
        </w:tc>
      </w:tr>
      <w:tr w:rsidR="004D5C31" w:rsidRPr="004D5C31" w:rsidTr="004D5C31">
        <w:trPr>
          <w:trHeight w:val="2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31" w:rsidRPr="004D5C31" w:rsidRDefault="004D5C31" w:rsidP="004D5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5C31">
              <w:rPr>
                <w:rFonts w:ascii="Arial" w:eastAsia="Times New Roman" w:hAnsi="Arial" w:cs="Arial"/>
                <w:color w:val="000000"/>
                <w:lang w:eastAsia="pl-PL"/>
              </w:rPr>
              <w:t>2014-03-05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31" w:rsidRPr="004D5C31" w:rsidRDefault="004D5C31" w:rsidP="004D5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5C31">
              <w:rPr>
                <w:rFonts w:ascii="Arial" w:eastAsia="Times New Roman" w:hAnsi="Arial" w:cs="Arial"/>
                <w:color w:val="000000"/>
                <w:lang w:eastAsia="pl-PL"/>
              </w:rPr>
              <w:t>451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C31" w:rsidRPr="004D5C31" w:rsidRDefault="004D5C31" w:rsidP="004D5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5C31">
              <w:rPr>
                <w:rFonts w:ascii="Arial" w:eastAsia="Times New Roman" w:hAnsi="Arial" w:cs="Arial"/>
                <w:color w:val="000000"/>
                <w:lang w:eastAsia="pl-PL"/>
              </w:rPr>
              <w:t>6,90%</w:t>
            </w:r>
          </w:p>
        </w:tc>
      </w:tr>
      <w:tr w:rsidR="004D5C31" w:rsidRPr="004D5C31" w:rsidTr="004D5C31">
        <w:trPr>
          <w:trHeight w:val="2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31" w:rsidRPr="004D5C31" w:rsidRDefault="004D5C31" w:rsidP="004D5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5C31">
              <w:rPr>
                <w:rFonts w:ascii="Arial" w:eastAsia="Times New Roman" w:hAnsi="Arial" w:cs="Arial"/>
                <w:color w:val="000000"/>
                <w:lang w:eastAsia="pl-PL"/>
              </w:rPr>
              <w:t>2014-03-06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31" w:rsidRPr="004D5C31" w:rsidRDefault="004D5C31" w:rsidP="004D5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5C31">
              <w:rPr>
                <w:rFonts w:ascii="Arial" w:eastAsia="Times New Roman" w:hAnsi="Arial" w:cs="Arial"/>
                <w:color w:val="000000"/>
                <w:lang w:eastAsia="pl-PL"/>
              </w:rPr>
              <w:t>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C31" w:rsidRPr="004D5C31" w:rsidRDefault="004D5C31" w:rsidP="004D5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5C31">
              <w:rPr>
                <w:rFonts w:ascii="Arial" w:eastAsia="Times New Roman" w:hAnsi="Arial" w:cs="Arial"/>
                <w:color w:val="000000"/>
                <w:lang w:eastAsia="pl-PL"/>
              </w:rPr>
              <w:t>1,48%</w:t>
            </w:r>
          </w:p>
        </w:tc>
      </w:tr>
      <w:tr w:rsidR="004D5C31" w:rsidRPr="004D5C31" w:rsidTr="004D5C31">
        <w:trPr>
          <w:trHeight w:val="2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31" w:rsidRPr="004D5C31" w:rsidRDefault="004D5C31" w:rsidP="004D5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5C31">
              <w:rPr>
                <w:rFonts w:ascii="Arial" w:eastAsia="Times New Roman" w:hAnsi="Arial" w:cs="Arial"/>
                <w:color w:val="000000"/>
                <w:lang w:eastAsia="pl-PL"/>
              </w:rPr>
              <w:t>2014-03-07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31" w:rsidRPr="004D5C31" w:rsidRDefault="004D5C31" w:rsidP="004D5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5C31">
              <w:rPr>
                <w:rFonts w:ascii="Arial" w:eastAsia="Times New Roman" w:hAnsi="Arial" w:cs="Arial"/>
                <w:color w:val="000000"/>
                <w:lang w:eastAsia="pl-PL"/>
              </w:rPr>
              <w:t>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C31" w:rsidRPr="004D5C31" w:rsidRDefault="004D5C31" w:rsidP="004D5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5C31">
              <w:rPr>
                <w:rFonts w:ascii="Arial" w:eastAsia="Times New Roman" w:hAnsi="Arial" w:cs="Arial"/>
                <w:color w:val="000000"/>
                <w:lang w:eastAsia="pl-PL"/>
              </w:rPr>
              <w:t>1,79%</w:t>
            </w:r>
          </w:p>
        </w:tc>
      </w:tr>
      <w:tr w:rsidR="004D5C31" w:rsidRPr="004D5C31" w:rsidTr="004D5C31">
        <w:trPr>
          <w:trHeight w:val="2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31" w:rsidRPr="004D5C31" w:rsidRDefault="004D5C31" w:rsidP="004D5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5C31">
              <w:rPr>
                <w:rFonts w:ascii="Arial" w:eastAsia="Times New Roman" w:hAnsi="Arial" w:cs="Arial"/>
                <w:color w:val="000000"/>
                <w:lang w:eastAsia="pl-PL"/>
              </w:rPr>
              <w:t>2014-03-08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31" w:rsidRPr="004D5C31" w:rsidRDefault="004D5C31" w:rsidP="004D5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5C31">
              <w:rPr>
                <w:rFonts w:ascii="Arial" w:eastAsia="Times New Roman" w:hAnsi="Arial" w:cs="Arial"/>
                <w:color w:val="000000"/>
                <w:lang w:eastAsia="pl-PL"/>
              </w:rPr>
              <w:t>397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C31" w:rsidRPr="004D5C31" w:rsidRDefault="004D5C31" w:rsidP="004D5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5C31">
              <w:rPr>
                <w:rFonts w:ascii="Arial" w:eastAsia="Times New Roman" w:hAnsi="Arial" w:cs="Arial"/>
                <w:color w:val="000000"/>
                <w:lang w:eastAsia="pl-PL"/>
              </w:rPr>
              <w:t>6,08%</w:t>
            </w:r>
          </w:p>
        </w:tc>
      </w:tr>
      <w:tr w:rsidR="004D5C31" w:rsidRPr="004D5C31" w:rsidTr="004D5C31">
        <w:trPr>
          <w:trHeight w:val="2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31" w:rsidRPr="004D5C31" w:rsidRDefault="004D5C31" w:rsidP="004D5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5C31">
              <w:rPr>
                <w:rFonts w:ascii="Arial" w:eastAsia="Times New Roman" w:hAnsi="Arial" w:cs="Arial"/>
                <w:color w:val="000000"/>
                <w:lang w:eastAsia="pl-PL"/>
              </w:rPr>
              <w:t>2014-03-09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31" w:rsidRPr="004D5C31" w:rsidRDefault="004D5C31" w:rsidP="004D5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5C31">
              <w:rPr>
                <w:rFonts w:ascii="Arial" w:eastAsia="Times New Roman" w:hAnsi="Arial" w:cs="Arial"/>
                <w:color w:val="000000"/>
                <w:lang w:eastAsia="pl-PL"/>
              </w:rPr>
              <w:t>628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C31" w:rsidRPr="004D5C31" w:rsidRDefault="004D5C31" w:rsidP="004D5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5C31">
              <w:rPr>
                <w:rFonts w:ascii="Arial" w:eastAsia="Times New Roman" w:hAnsi="Arial" w:cs="Arial"/>
                <w:color w:val="000000"/>
                <w:lang w:eastAsia="pl-PL"/>
              </w:rPr>
              <w:t>9,61%</w:t>
            </w:r>
          </w:p>
        </w:tc>
      </w:tr>
      <w:tr w:rsidR="004D5C31" w:rsidRPr="004D5C31" w:rsidTr="004D5C31">
        <w:trPr>
          <w:trHeight w:val="2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31" w:rsidRPr="004D5C31" w:rsidRDefault="004D5C31" w:rsidP="004D5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5C31">
              <w:rPr>
                <w:rFonts w:ascii="Arial" w:eastAsia="Times New Roman" w:hAnsi="Arial" w:cs="Arial"/>
                <w:color w:val="000000"/>
                <w:lang w:eastAsia="pl-PL"/>
              </w:rPr>
              <w:t>2014-03-10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31" w:rsidRPr="004D5C31" w:rsidRDefault="004D5C31" w:rsidP="004D5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5C31">
              <w:rPr>
                <w:rFonts w:ascii="Arial" w:eastAsia="Times New Roman" w:hAnsi="Arial" w:cs="Arial"/>
                <w:color w:val="000000"/>
                <w:lang w:eastAsia="pl-PL"/>
              </w:rPr>
              <w:t>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C31" w:rsidRPr="004D5C31" w:rsidRDefault="004D5C31" w:rsidP="004D5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5C31">
              <w:rPr>
                <w:rFonts w:ascii="Arial" w:eastAsia="Times New Roman" w:hAnsi="Arial" w:cs="Arial"/>
                <w:color w:val="000000"/>
                <w:lang w:eastAsia="pl-PL"/>
              </w:rPr>
              <w:t>6,72%</w:t>
            </w:r>
          </w:p>
        </w:tc>
      </w:tr>
      <w:tr w:rsidR="004D5C31" w:rsidRPr="004D5C31" w:rsidTr="004D5C31">
        <w:trPr>
          <w:trHeight w:val="2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31" w:rsidRPr="004D5C31" w:rsidRDefault="004D5C31" w:rsidP="004D5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5C31">
              <w:rPr>
                <w:rFonts w:ascii="Arial" w:eastAsia="Times New Roman" w:hAnsi="Arial" w:cs="Arial"/>
                <w:color w:val="000000"/>
                <w:lang w:eastAsia="pl-PL"/>
              </w:rPr>
              <w:t>2014-03-11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31" w:rsidRPr="004D5C31" w:rsidRDefault="004D5C31" w:rsidP="004D5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5C31">
              <w:rPr>
                <w:rFonts w:ascii="Arial" w:eastAsia="Times New Roman" w:hAnsi="Arial" w:cs="Arial"/>
                <w:color w:val="000000"/>
                <w:lang w:eastAsia="pl-PL"/>
              </w:rPr>
              <w:t>369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C31" w:rsidRPr="004D5C31" w:rsidRDefault="004D5C31" w:rsidP="004D5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5C31">
              <w:rPr>
                <w:rFonts w:ascii="Arial" w:eastAsia="Times New Roman" w:hAnsi="Arial" w:cs="Arial"/>
                <w:color w:val="000000"/>
                <w:lang w:eastAsia="pl-PL"/>
              </w:rPr>
              <w:t>5,65%</w:t>
            </w:r>
          </w:p>
        </w:tc>
      </w:tr>
      <w:tr w:rsidR="004D5C31" w:rsidRPr="004D5C31" w:rsidTr="004D5C31">
        <w:trPr>
          <w:trHeight w:val="2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31" w:rsidRPr="004D5C31" w:rsidRDefault="004D5C31" w:rsidP="004D5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5C31">
              <w:rPr>
                <w:rFonts w:ascii="Arial" w:eastAsia="Times New Roman" w:hAnsi="Arial" w:cs="Arial"/>
                <w:color w:val="000000"/>
                <w:lang w:eastAsia="pl-PL"/>
              </w:rPr>
              <w:t>2014-03-12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31" w:rsidRPr="004D5C31" w:rsidRDefault="004D5C31" w:rsidP="004D5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5C31">
              <w:rPr>
                <w:rFonts w:ascii="Arial" w:eastAsia="Times New Roman" w:hAnsi="Arial" w:cs="Arial"/>
                <w:color w:val="000000"/>
                <w:lang w:eastAsia="pl-PL"/>
              </w:rPr>
              <w:t>399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C31" w:rsidRPr="004D5C31" w:rsidRDefault="004D5C31" w:rsidP="004D5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5C31">
              <w:rPr>
                <w:rFonts w:ascii="Arial" w:eastAsia="Times New Roman" w:hAnsi="Arial" w:cs="Arial"/>
                <w:color w:val="000000"/>
                <w:lang w:eastAsia="pl-PL"/>
              </w:rPr>
              <w:t>6,11%</w:t>
            </w:r>
          </w:p>
        </w:tc>
      </w:tr>
      <w:tr w:rsidR="004D5C31" w:rsidRPr="004D5C31" w:rsidTr="004D5C31">
        <w:trPr>
          <w:trHeight w:val="2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31" w:rsidRPr="004D5C31" w:rsidRDefault="004D5C31" w:rsidP="004D5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5C31">
              <w:rPr>
                <w:rFonts w:ascii="Arial" w:eastAsia="Times New Roman" w:hAnsi="Arial" w:cs="Arial"/>
                <w:color w:val="000000"/>
                <w:lang w:eastAsia="pl-PL"/>
              </w:rPr>
              <w:t>2014-03-13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31" w:rsidRPr="004D5C31" w:rsidRDefault="004D5C31" w:rsidP="004D5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5C31">
              <w:rPr>
                <w:rFonts w:ascii="Arial" w:eastAsia="Times New Roman" w:hAnsi="Arial" w:cs="Arial"/>
                <w:color w:val="000000"/>
                <w:lang w:eastAsia="pl-PL"/>
              </w:rPr>
              <w:t>401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C31" w:rsidRPr="004D5C31" w:rsidRDefault="004D5C31" w:rsidP="004D5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5C31">
              <w:rPr>
                <w:rFonts w:ascii="Arial" w:eastAsia="Times New Roman" w:hAnsi="Arial" w:cs="Arial"/>
                <w:color w:val="000000"/>
                <w:lang w:eastAsia="pl-PL"/>
              </w:rPr>
              <w:t>6,14%</w:t>
            </w:r>
          </w:p>
        </w:tc>
      </w:tr>
      <w:tr w:rsidR="004D5C31" w:rsidRPr="004D5C31" w:rsidTr="004D5C31">
        <w:trPr>
          <w:trHeight w:val="2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31" w:rsidRPr="004D5C31" w:rsidRDefault="004D5C31" w:rsidP="004D5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5C31">
              <w:rPr>
                <w:rFonts w:ascii="Arial" w:eastAsia="Times New Roman" w:hAnsi="Arial" w:cs="Arial"/>
                <w:color w:val="000000"/>
                <w:lang w:eastAsia="pl-PL"/>
              </w:rPr>
              <w:t>2014-03-14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31" w:rsidRPr="004D5C31" w:rsidRDefault="004D5C31" w:rsidP="004D5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5C31">
              <w:rPr>
                <w:rFonts w:ascii="Arial" w:eastAsia="Times New Roman" w:hAnsi="Arial" w:cs="Arial"/>
                <w:color w:val="000000"/>
                <w:lang w:eastAsia="pl-PL"/>
              </w:rPr>
              <w:t>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C31" w:rsidRPr="004D5C31" w:rsidRDefault="004D5C31" w:rsidP="004D5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5C31">
              <w:rPr>
                <w:rFonts w:ascii="Arial" w:eastAsia="Times New Roman" w:hAnsi="Arial" w:cs="Arial"/>
                <w:color w:val="000000"/>
                <w:lang w:eastAsia="pl-PL"/>
              </w:rPr>
              <w:t>2,30%</w:t>
            </w:r>
          </w:p>
        </w:tc>
      </w:tr>
      <w:tr w:rsidR="004D5C31" w:rsidRPr="004D5C31" w:rsidTr="004D5C31">
        <w:trPr>
          <w:trHeight w:val="2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31" w:rsidRPr="004D5C31" w:rsidRDefault="004D5C31" w:rsidP="004D5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5C31">
              <w:rPr>
                <w:rFonts w:ascii="Arial" w:eastAsia="Times New Roman" w:hAnsi="Arial" w:cs="Arial"/>
                <w:color w:val="000000"/>
                <w:lang w:eastAsia="pl-PL"/>
              </w:rPr>
              <w:t>2014-03-15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31" w:rsidRPr="004D5C31" w:rsidRDefault="004D5C31" w:rsidP="004D5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5C31">
              <w:rPr>
                <w:rFonts w:ascii="Arial" w:eastAsia="Times New Roman" w:hAnsi="Arial" w:cs="Arial"/>
                <w:color w:val="000000"/>
                <w:lang w:eastAsia="pl-PL"/>
              </w:rPr>
              <w:t>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C31" w:rsidRPr="004D5C31" w:rsidRDefault="004D5C31" w:rsidP="004D5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5C31">
              <w:rPr>
                <w:rFonts w:ascii="Arial" w:eastAsia="Times New Roman" w:hAnsi="Arial" w:cs="Arial"/>
                <w:color w:val="000000"/>
                <w:lang w:eastAsia="pl-PL"/>
              </w:rPr>
              <w:t>2,13%</w:t>
            </w:r>
          </w:p>
        </w:tc>
      </w:tr>
      <w:tr w:rsidR="004D5C31" w:rsidRPr="004D5C31" w:rsidTr="004D5C31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31" w:rsidRPr="004D5C31" w:rsidRDefault="004D5C31" w:rsidP="004D5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5C31">
              <w:rPr>
                <w:rFonts w:ascii="Arial" w:eastAsia="Times New Roman" w:hAnsi="Arial" w:cs="Arial"/>
                <w:color w:val="000000"/>
                <w:lang w:eastAsia="pl-PL"/>
              </w:rPr>
              <w:t>2014-03-16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31" w:rsidRPr="004D5C31" w:rsidRDefault="004D5C31" w:rsidP="004D5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5C31">
              <w:rPr>
                <w:rFonts w:ascii="Arial" w:eastAsia="Times New Roman" w:hAnsi="Arial" w:cs="Arial"/>
                <w:color w:val="000000"/>
                <w:lang w:eastAsia="pl-PL"/>
              </w:rPr>
              <w:t>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C31" w:rsidRPr="004D5C31" w:rsidRDefault="004D5C31" w:rsidP="004D5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5C31">
              <w:rPr>
                <w:rFonts w:ascii="Arial" w:eastAsia="Times New Roman" w:hAnsi="Arial" w:cs="Arial"/>
                <w:color w:val="000000"/>
                <w:lang w:eastAsia="pl-PL"/>
              </w:rPr>
              <w:t>1,35%</w:t>
            </w:r>
          </w:p>
        </w:tc>
      </w:tr>
    </w:tbl>
    <w:p w:rsidR="00D7487A" w:rsidRDefault="00D7487A" w:rsidP="00D748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887">
        <w:rPr>
          <w:rFonts w:ascii="Times New Roman" w:hAnsi="Times New Roman" w:cs="Times New Roman"/>
          <w:b/>
          <w:sz w:val="24"/>
          <w:szCs w:val="24"/>
        </w:rPr>
        <w:t xml:space="preserve">RAZEM : </w:t>
      </w:r>
      <w:r>
        <w:rPr>
          <w:rFonts w:ascii="Times New Roman" w:hAnsi="Times New Roman" w:cs="Times New Roman"/>
          <w:b/>
          <w:sz w:val="24"/>
          <w:szCs w:val="24"/>
        </w:rPr>
        <w:t>6532 ankiet</w:t>
      </w:r>
    </w:p>
    <w:p w:rsidR="000B5558" w:rsidRDefault="00D7487A" w:rsidP="00D748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87A">
        <w:rPr>
          <w:rFonts w:ascii="Times New Roman" w:hAnsi="Times New Roman" w:cs="Times New Roman"/>
          <w:sz w:val="24"/>
          <w:szCs w:val="24"/>
        </w:rPr>
        <w:t>Analizując</w:t>
      </w:r>
      <w:r>
        <w:rPr>
          <w:rFonts w:ascii="Times New Roman" w:hAnsi="Times New Roman" w:cs="Times New Roman"/>
          <w:sz w:val="24"/>
          <w:szCs w:val="24"/>
        </w:rPr>
        <w:t xml:space="preserve"> tabelę nr 2 można stwierdzić, że dzienny rozkład wyników jest podobny do rozkładu wyników w tabeli 1. </w:t>
      </w:r>
      <w:r w:rsidR="000B5558">
        <w:rPr>
          <w:rFonts w:ascii="Times New Roman" w:hAnsi="Times New Roman" w:cs="Times New Roman"/>
          <w:sz w:val="24"/>
          <w:szCs w:val="24"/>
        </w:rPr>
        <w:t>Najwięcej ankiet wypełniono pierwszego dnia (32,35%), najmniej zaś ostatniego dnia trwania badania (1,35%). W ciągu dwóch pierwszych dni trwania badania studenci wypełnili 43,74% wszystkich uzupełnionych w badaniu ankiet.</w:t>
      </w:r>
    </w:p>
    <w:p w:rsidR="00EE54C4" w:rsidRDefault="000B5558" w:rsidP="00EE54C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Współczynnik korelacji</w:t>
      </w:r>
      <w:r w:rsidR="00D7487A">
        <w:rPr>
          <w:rFonts w:ascii="Times New Roman" w:hAnsi="Times New Roman" w:cs="Times New Roman"/>
          <w:sz w:val="24"/>
          <w:szCs w:val="24"/>
        </w:rPr>
        <w:t xml:space="preserve"> liczby osób wypełniających ankiety i liczby wypełnionych ankiet jest bardzo w</w:t>
      </w:r>
      <w:r>
        <w:rPr>
          <w:rFonts w:ascii="Times New Roman" w:hAnsi="Times New Roman" w:cs="Times New Roman"/>
          <w:sz w:val="24"/>
          <w:szCs w:val="24"/>
        </w:rPr>
        <w:t>ysoki</w:t>
      </w:r>
      <w:r w:rsidR="00D7487A">
        <w:rPr>
          <w:rFonts w:ascii="Times New Roman" w:hAnsi="Times New Roman" w:cs="Times New Roman"/>
          <w:sz w:val="24"/>
          <w:szCs w:val="24"/>
        </w:rPr>
        <w:t xml:space="preserve"> i wynosi </w:t>
      </w:r>
      <w:r>
        <w:rPr>
          <w:rFonts w:ascii="Times New Roman" w:hAnsi="Times New Roman" w:cs="Times New Roman"/>
          <w:sz w:val="24"/>
          <w:szCs w:val="24"/>
        </w:rPr>
        <w:t xml:space="preserve">0,995. </w:t>
      </w:r>
      <w:r w:rsidR="00D748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Tak wysoka korelacja może świadczyć o tym, </w:t>
      </w:r>
      <w:r w:rsidR="00D7487A">
        <w:rPr>
          <w:rFonts w:ascii="Times New Roman" w:hAnsi="Times New Roman" w:cs="Times New Roman"/>
          <w:sz w:val="24"/>
          <w:szCs w:val="24"/>
        </w:rPr>
        <w:t xml:space="preserve">że </w:t>
      </w:r>
      <w:r>
        <w:rPr>
          <w:rFonts w:ascii="Times New Roman" w:hAnsi="Times New Roman" w:cs="Times New Roman"/>
          <w:sz w:val="24"/>
          <w:szCs w:val="24"/>
        </w:rPr>
        <w:t>w </w:t>
      </w:r>
      <w:r w:rsidR="00D7487A">
        <w:rPr>
          <w:rFonts w:ascii="Times New Roman" w:hAnsi="Times New Roman" w:cs="Times New Roman"/>
          <w:sz w:val="24"/>
          <w:szCs w:val="24"/>
        </w:rPr>
        <w:t xml:space="preserve">większości przypadków respondenci wypełniali wszystkie przypadające na nich ankiety </w:t>
      </w:r>
      <w:r>
        <w:rPr>
          <w:rFonts w:ascii="Times New Roman" w:hAnsi="Times New Roman" w:cs="Times New Roman"/>
          <w:sz w:val="24"/>
          <w:szCs w:val="24"/>
        </w:rPr>
        <w:t>w </w:t>
      </w:r>
      <w:r w:rsidR="00DF122C">
        <w:rPr>
          <w:rFonts w:ascii="Times New Roman" w:hAnsi="Times New Roman" w:cs="Times New Roman"/>
          <w:sz w:val="24"/>
          <w:szCs w:val="24"/>
        </w:rPr>
        <w:t>ciągu pierwszego</w:t>
      </w:r>
      <w:r w:rsidR="00D7487A">
        <w:rPr>
          <w:rFonts w:ascii="Times New Roman" w:hAnsi="Times New Roman" w:cs="Times New Roman"/>
          <w:sz w:val="24"/>
          <w:szCs w:val="24"/>
        </w:rPr>
        <w:t xml:space="preserve"> dnia</w:t>
      </w:r>
      <w:r w:rsidR="00DF122C">
        <w:rPr>
          <w:rFonts w:ascii="Times New Roman" w:hAnsi="Times New Roman" w:cs="Times New Roman"/>
          <w:sz w:val="24"/>
          <w:szCs w:val="24"/>
        </w:rPr>
        <w:t xml:space="preserve"> logowania</w:t>
      </w:r>
      <w:r w:rsidR="00D748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0E2B" w:rsidRDefault="009B7D3A" w:rsidP="00A054C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Rysunek 3</w:t>
      </w:r>
      <w:r w:rsidR="00AB0E2B" w:rsidRPr="00AB0E2B">
        <w:rPr>
          <w:rFonts w:ascii="Times New Roman" w:hAnsi="Times New Roman" w:cs="Times New Roman"/>
          <w:b/>
          <w:i/>
          <w:sz w:val="24"/>
          <w:szCs w:val="24"/>
        </w:rPr>
        <w:t>. Aktywność respondentów w trakcie trwania badania</w:t>
      </w:r>
      <w:r w:rsidR="00B26CBB">
        <w:rPr>
          <w:rFonts w:ascii="Times New Roman" w:hAnsi="Times New Roman" w:cs="Times New Roman"/>
          <w:b/>
          <w:i/>
          <w:sz w:val="24"/>
          <w:szCs w:val="24"/>
        </w:rPr>
        <w:t xml:space="preserve"> (osoby)</w:t>
      </w:r>
    </w:p>
    <w:p w:rsidR="00B26CBB" w:rsidRDefault="00667548" w:rsidP="00A054C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11E1E79" wp14:editId="086D04B3">
            <wp:extent cx="5760720" cy="3475051"/>
            <wp:effectExtent l="0" t="0" r="11430" b="1143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90574" w:rsidRDefault="00790574" w:rsidP="00B26CBB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26CBB" w:rsidRDefault="009B7D3A" w:rsidP="00B26CBB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Rysunek 4</w:t>
      </w:r>
      <w:r w:rsidR="00B26CB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B26CBB" w:rsidRPr="00AB0E2B">
        <w:rPr>
          <w:rFonts w:ascii="Times New Roman" w:hAnsi="Times New Roman" w:cs="Times New Roman"/>
          <w:b/>
          <w:i/>
          <w:sz w:val="24"/>
          <w:szCs w:val="24"/>
        </w:rPr>
        <w:t>Aktywność respondentów w trakcie trwania badania</w:t>
      </w:r>
      <w:r w:rsidR="00B26CBB">
        <w:rPr>
          <w:rFonts w:ascii="Times New Roman" w:hAnsi="Times New Roman" w:cs="Times New Roman"/>
          <w:b/>
          <w:i/>
          <w:sz w:val="24"/>
          <w:szCs w:val="24"/>
        </w:rPr>
        <w:t xml:space="preserve"> (ankiety)</w:t>
      </w:r>
    </w:p>
    <w:p w:rsidR="00717719" w:rsidRDefault="00B26CBB" w:rsidP="002C3A0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71CAADB" wp14:editId="11D361DD">
            <wp:extent cx="5844209" cy="3792772"/>
            <wp:effectExtent l="0" t="0" r="23495" b="1778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717719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5168D6" w:rsidRPr="005C7F44" w:rsidRDefault="00717719" w:rsidP="00B26CB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F44">
        <w:rPr>
          <w:rFonts w:ascii="Times New Roman" w:hAnsi="Times New Roman" w:cs="Times New Roman"/>
          <w:b/>
          <w:sz w:val="28"/>
          <w:szCs w:val="28"/>
        </w:rPr>
        <w:lastRenderedPageBreak/>
        <w:t>2.3. Ocena jakości realizowanych zajęć</w:t>
      </w:r>
    </w:p>
    <w:p w:rsidR="0034176C" w:rsidRDefault="00C868B1" w:rsidP="005C7F4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Biorąc pod uwagę wszystkie realizowane na Wydziale Matematyki i Informatyki zajęcia policzono średnią wszystkich</w:t>
      </w:r>
      <w:r w:rsidR="006D7388">
        <w:rPr>
          <w:rFonts w:ascii="Times New Roman" w:hAnsi="Times New Roman" w:cs="Times New Roman"/>
          <w:sz w:val="24"/>
          <w:szCs w:val="24"/>
        </w:rPr>
        <w:t xml:space="preserve"> przeprowadzonych w semestrze zimowym 2013/14 </w:t>
      </w:r>
      <w:r>
        <w:rPr>
          <w:rFonts w:ascii="Times New Roman" w:hAnsi="Times New Roman" w:cs="Times New Roman"/>
          <w:sz w:val="24"/>
          <w:szCs w:val="24"/>
        </w:rPr>
        <w:t xml:space="preserve">zajęć (wykorzystując w tym celu średnią ważoną ze względu na liczbę ocen) i otrzymano wynik </w:t>
      </w:r>
      <w:r w:rsidRPr="006D7388">
        <w:rPr>
          <w:rFonts w:ascii="Times New Roman" w:hAnsi="Times New Roman" w:cs="Times New Roman"/>
          <w:b/>
          <w:sz w:val="24"/>
          <w:szCs w:val="24"/>
        </w:rPr>
        <w:t>4,64</w:t>
      </w:r>
      <w:r>
        <w:rPr>
          <w:rFonts w:ascii="Times New Roman" w:hAnsi="Times New Roman" w:cs="Times New Roman"/>
          <w:sz w:val="24"/>
          <w:szCs w:val="24"/>
        </w:rPr>
        <w:t xml:space="preserve"> (w skali od 1 do 5) co świadczy z pewnością o </w:t>
      </w:r>
      <w:r w:rsidR="006D7388">
        <w:rPr>
          <w:rFonts w:ascii="Times New Roman" w:hAnsi="Times New Roman" w:cs="Times New Roman"/>
          <w:sz w:val="24"/>
          <w:szCs w:val="24"/>
        </w:rPr>
        <w:t>dobrej ocenie</w:t>
      </w:r>
      <w:r w:rsidR="006114DD">
        <w:rPr>
          <w:rFonts w:ascii="Times New Roman" w:hAnsi="Times New Roman" w:cs="Times New Roman"/>
          <w:sz w:val="24"/>
          <w:szCs w:val="24"/>
        </w:rPr>
        <w:t xml:space="preserve"> przez studentów </w:t>
      </w:r>
      <w:r w:rsidR="006D7388">
        <w:rPr>
          <w:rFonts w:ascii="Times New Roman" w:hAnsi="Times New Roman" w:cs="Times New Roman"/>
          <w:sz w:val="24"/>
          <w:szCs w:val="24"/>
        </w:rPr>
        <w:t xml:space="preserve"> jakości of</w:t>
      </w:r>
      <w:r w:rsidR="006114DD">
        <w:rPr>
          <w:rFonts w:ascii="Times New Roman" w:hAnsi="Times New Roman" w:cs="Times New Roman"/>
          <w:sz w:val="24"/>
          <w:szCs w:val="24"/>
        </w:rPr>
        <w:t>erowanych zajęć.</w:t>
      </w:r>
    </w:p>
    <w:p w:rsidR="0034176C" w:rsidRDefault="0034176C" w:rsidP="00B26C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Najlepiej oceniono zajęcia na kierunku Informatyka niestacjonarna -  4,79</w:t>
      </w:r>
      <w:r w:rsidR="004E673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na kierunku Matematyka s</w:t>
      </w:r>
      <w:r w:rsidR="004E673B">
        <w:rPr>
          <w:rFonts w:ascii="Times New Roman" w:hAnsi="Times New Roman" w:cs="Times New Roman"/>
          <w:sz w:val="24"/>
          <w:szCs w:val="24"/>
        </w:rPr>
        <w:t>tacjonarna średnia wyniosła 4,690</w:t>
      </w:r>
      <w:r>
        <w:rPr>
          <w:rFonts w:ascii="Times New Roman" w:hAnsi="Times New Roman" w:cs="Times New Roman"/>
          <w:sz w:val="24"/>
          <w:szCs w:val="24"/>
        </w:rPr>
        <w:t>,  natomiast na kierunku Informatyka stacjonarne średnia wyniosła 4,62</w:t>
      </w:r>
      <w:r w:rsidR="004E673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673B" w:rsidRDefault="004E673B" w:rsidP="00B26C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Podsumowanie oceny przedmiotów na kierunku </w:t>
      </w:r>
      <w:r w:rsidRPr="00DA3DA9">
        <w:rPr>
          <w:rFonts w:ascii="Times New Roman" w:hAnsi="Times New Roman" w:cs="Times New Roman"/>
          <w:sz w:val="24"/>
          <w:szCs w:val="24"/>
          <w:u w:val="single"/>
        </w:rPr>
        <w:t xml:space="preserve">Informatyka </w:t>
      </w:r>
      <w:r w:rsidR="00021684">
        <w:rPr>
          <w:rFonts w:ascii="Times New Roman" w:hAnsi="Times New Roman" w:cs="Times New Roman"/>
          <w:sz w:val="24"/>
          <w:szCs w:val="24"/>
          <w:u w:val="single"/>
        </w:rPr>
        <w:t xml:space="preserve">studia </w:t>
      </w:r>
      <w:r w:rsidRPr="00DA3DA9">
        <w:rPr>
          <w:rFonts w:ascii="Times New Roman" w:hAnsi="Times New Roman" w:cs="Times New Roman"/>
          <w:sz w:val="24"/>
          <w:szCs w:val="24"/>
          <w:u w:val="single"/>
        </w:rPr>
        <w:t>niestacjonarne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E673B" w:rsidRDefault="004E673B" w:rsidP="004E673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Średnia wszystkich zajęć</w:t>
      </w:r>
      <w:r w:rsidR="009E6E8B">
        <w:rPr>
          <w:rFonts w:ascii="Times New Roman" w:hAnsi="Times New Roman" w:cs="Times New Roman"/>
          <w:sz w:val="24"/>
          <w:szCs w:val="24"/>
        </w:rPr>
        <w:t xml:space="preserve"> - </w:t>
      </w:r>
      <w:r w:rsidR="00DA3DA9">
        <w:rPr>
          <w:rFonts w:ascii="Times New Roman" w:hAnsi="Times New Roman" w:cs="Times New Roman"/>
          <w:sz w:val="24"/>
          <w:szCs w:val="24"/>
        </w:rPr>
        <w:t xml:space="preserve"> 4,80</w:t>
      </w:r>
    </w:p>
    <w:p w:rsidR="00DA3DA9" w:rsidRPr="00DA3DA9" w:rsidRDefault="009E6E8B" w:rsidP="00DA3DA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Średnia ocena wykładów </w:t>
      </w:r>
      <w:r w:rsidR="00DA3DA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DA9">
        <w:rPr>
          <w:rFonts w:ascii="Times New Roman" w:hAnsi="Times New Roman" w:cs="Times New Roman"/>
          <w:sz w:val="24"/>
          <w:szCs w:val="24"/>
        </w:rPr>
        <w:t>4,87</w:t>
      </w:r>
    </w:p>
    <w:p w:rsidR="00DA3DA9" w:rsidRPr="004E673B" w:rsidRDefault="00DA3DA9" w:rsidP="004E673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Średnia ocena ćwiczeń – 4,75</w:t>
      </w:r>
    </w:p>
    <w:p w:rsidR="00DA3DA9" w:rsidRDefault="00DA3DA9" w:rsidP="00DA3D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Podsumowanie oceny przedmiotów na kierunku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Matematyka </w:t>
      </w:r>
      <w:r w:rsidR="00021684">
        <w:rPr>
          <w:rFonts w:ascii="Times New Roman" w:hAnsi="Times New Roman" w:cs="Times New Roman"/>
          <w:sz w:val="24"/>
          <w:szCs w:val="24"/>
          <w:u w:val="single"/>
        </w:rPr>
        <w:t xml:space="preserve">studia </w:t>
      </w:r>
      <w:r>
        <w:rPr>
          <w:rFonts w:ascii="Times New Roman" w:hAnsi="Times New Roman" w:cs="Times New Roman"/>
          <w:sz w:val="24"/>
          <w:szCs w:val="24"/>
          <w:u w:val="single"/>
        </w:rPr>
        <w:t>stacjonarne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A3DA9" w:rsidRDefault="00DA3DA9" w:rsidP="00DA3DA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Średnia wszystkich zajęć -  4,</w:t>
      </w:r>
      <w:r w:rsidR="00707E96">
        <w:rPr>
          <w:rFonts w:ascii="Times New Roman" w:hAnsi="Times New Roman" w:cs="Times New Roman"/>
          <w:sz w:val="24"/>
          <w:szCs w:val="24"/>
        </w:rPr>
        <w:t>69</w:t>
      </w:r>
    </w:p>
    <w:p w:rsidR="00DA3DA9" w:rsidRPr="00DA3DA9" w:rsidRDefault="00DA3DA9" w:rsidP="00DA3DA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Średnia ocena wykładów – 4,</w:t>
      </w:r>
      <w:r w:rsidR="005B2D3C">
        <w:rPr>
          <w:rFonts w:ascii="Times New Roman" w:hAnsi="Times New Roman" w:cs="Times New Roman"/>
          <w:sz w:val="24"/>
          <w:szCs w:val="24"/>
        </w:rPr>
        <w:t>70</w:t>
      </w:r>
    </w:p>
    <w:p w:rsidR="00DA3DA9" w:rsidRPr="004E673B" w:rsidRDefault="00DA3DA9" w:rsidP="00DA3DA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Średnia ocena ćwiczeń – 4,</w:t>
      </w:r>
      <w:r w:rsidR="00707E96">
        <w:rPr>
          <w:rFonts w:ascii="Times New Roman" w:hAnsi="Times New Roman" w:cs="Times New Roman"/>
          <w:sz w:val="24"/>
          <w:szCs w:val="24"/>
        </w:rPr>
        <w:t>68</w:t>
      </w:r>
    </w:p>
    <w:p w:rsidR="00DA3DA9" w:rsidRDefault="00DA3DA9" w:rsidP="00DA3D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Podsumowanie oceny przedmiotów na kierunku </w:t>
      </w:r>
      <w:r>
        <w:rPr>
          <w:rFonts w:ascii="Times New Roman" w:hAnsi="Times New Roman" w:cs="Times New Roman"/>
          <w:sz w:val="24"/>
          <w:szCs w:val="24"/>
          <w:u w:val="single"/>
        </w:rPr>
        <w:t>Informatyka</w:t>
      </w:r>
      <w:r w:rsidR="00021684">
        <w:rPr>
          <w:rFonts w:ascii="Times New Roman" w:hAnsi="Times New Roman" w:cs="Times New Roman"/>
          <w:sz w:val="24"/>
          <w:szCs w:val="24"/>
          <w:u w:val="single"/>
        </w:rPr>
        <w:t xml:space="preserve"> studia </w:t>
      </w:r>
      <w:r w:rsidRPr="00DA3DA9">
        <w:rPr>
          <w:rFonts w:ascii="Times New Roman" w:hAnsi="Times New Roman" w:cs="Times New Roman"/>
          <w:sz w:val="24"/>
          <w:szCs w:val="24"/>
          <w:u w:val="single"/>
        </w:rPr>
        <w:t>stacjonarne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A3DA9" w:rsidRDefault="00DA3DA9" w:rsidP="00DA3DA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Średnia wszystkich zajęć - </w:t>
      </w:r>
      <w:r w:rsidR="005B2D3C">
        <w:rPr>
          <w:rFonts w:ascii="Times New Roman" w:hAnsi="Times New Roman" w:cs="Times New Roman"/>
          <w:sz w:val="24"/>
          <w:szCs w:val="24"/>
        </w:rPr>
        <w:t xml:space="preserve"> 4,62</w:t>
      </w:r>
    </w:p>
    <w:p w:rsidR="00DA3DA9" w:rsidRPr="00DA3DA9" w:rsidRDefault="00DA3DA9" w:rsidP="00DA3DA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Średnia ocena wykładów – 4,</w:t>
      </w:r>
      <w:r w:rsidR="00575B0B">
        <w:rPr>
          <w:rFonts w:ascii="Times New Roman" w:hAnsi="Times New Roman" w:cs="Times New Roman"/>
          <w:sz w:val="24"/>
          <w:szCs w:val="24"/>
        </w:rPr>
        <w:t>62</w:t>
      </w:r>
    </w:p>
    <w:p w:rsidR="00DA3DA9" w:rsidRDefault="00DA3DA9" w:rsidP="00DA3DA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Średnia ocena ćwiczeń – 4,</w:t>
      </w:r>
      <w:r w:rsidR="005B2D3C">
        <w:rPr>
          <w:rFonts w:ascii="Times New Roman" w:hAnsi="Times New Roman" w:cs="Times New Roman"/>
          <w:sz w:val="24"/>
          <w:szCs w:val="24"/>
        </w:rPr>
        <w:t>62</w:t>
      </w:r>
    </w:p>
    <w:p w:rsidR="002F33BE" w:rsidRPr="002F33BE" w:rsidRDefault="002F33BE" w:rsidP="002F33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Różnice pomiędzy poszczególnymi kierunkami są niewielkie, tak jak różnice w ocenie prowadzonych wykładów i ćwiczeń. Wyniki </w:t>
      </w:r>
      <w:r w:rsidR="00A37FDC">
        <w:rPr>
          <w:rFonts w:ascii="Times New Roman" w:hAnsi="Times New Roman" w:cs="Times New Roman"/>
          <w:sz w:val="24"/>
          <w:szCs w:val="24"/>
        </w:rPr>
        <w:t xml:space="preserve"> oceny przedmiotów realizowanych na studiach niestacjonarnych kierunku Informatyka</w:t>
      </w:r>
      <w:r>
        <w:rPr>
          <w:rFonts w:ascii="Times New Roman" w:hAnsi="Times New Roman" w:cs="Times New Roman"/>
          <w:sz w:val="24"/>
          <w:szCs w:val="24"/>
        </w:rPr>
        <w:t xml:space="preserve"> nie mogą być uznane za miarodajne ze względu na małą zwrotność ankiet</w:t>
      </w:r>
      <w:r w:rsidR="00021684">
        <w:rPr>
          <w:rFonts w:ascii="Times New Roman" w:hAnsi="Times New Roman" w:cs="Times New Roman"/>
          <w:sz w:val="24"/>
          <w:szCs w:val="24"/>
        </w:rPr>
        <w:t xml:space="preserve"> (prawdopodobnie wypełnili je dobrzy studenci), jednak</w:t>
      </w:r>
      <w:r>
        <w:rPr>
          <w:rFonts w:ascii="Times New Roman" w:hAnsi="Times New Roman" w:cs="Times New Roman"/>
          <w:sz w:val="24"/>
          <w:szCs w:val="24"/>
        </w:rPr>
        <w:t xml:space="preserve"> umieszczono je na wykresie razem z kierunkami studiów stacjonarnych w celu porównania. </w:t>
      </w:r>
    </w:p>
    <w:p w:rsidR="002F33BE" w:rsidRDefault="002F33B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D92E0E" w:rsidRPr="00EE46D5" w:rsidRDefault="00D92E0E" w:rsidP="00EE46D5">
      <w:pPr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196EFE" w:rsidRPr="00196EFE" w:rsidRDefault="00196EFE" w:rsidP="00196EF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196EFE" w:rsidRPr="00196EFE" w:rsidRDefault="00196EFE" w:rsidP="00196EFE">
      <w:pPr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6F276B" w:rsidRPr="002C3A04" w:rsidRDefault="00B543B5" w:rsidP="002C3A0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278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2.4 </w:t>
      </w:r>
      <w:r w:rsidR="006F276B" w:rsidRPr="005278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Szczegółowa ocena zajęć z podziałem </w:t>
      </w:r>
      <w:r w:rsidR="005D62DC" w:rsidRPr="005278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na wykłady i ćwiczenia dla kierunku Informatyka studia stacjonarne</w:t>
      </w:r>
    </w:p>
    <w:p w:rsidR="00356432" w:rsidRDefault="00356432" w:rsidP="0035643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D62DC" w:rsidRDefault="005D62DC" w:rsidP="0035643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 względu na największą liczbę dostępnych danych na kierunku Informatyka studia stacjonarne przeprowadzono szczegółową</w:t>
      </w:r>
      <w:r w:rsidR="003564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analizę ocen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przedmiotów </w:t>
      </w:r>
      <w:r w:rsidR="008661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rozbiciem na wykłady i ćwiczenia, z uwzględnieniem ocen różnych prowadzących.</w:t>
      </w:r>
      <w:r w:rsidR="00F25D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Pominięto szczegółową analizę na kierunku Informatyka studia niestacjonarne ze względu na zbyt małą liczbę danych</w:t>
      </w:r>
      <w:r w:rsidR="003564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a </w:t>
      </w:r>
      <w:r w:rsidR="00F25D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także na kierunku Matematyka studia stacjonarne ze względu na bardzo niewielkie różnice w ocenie poszczególnych przedmiotów.</w:t>
      </w:r>
    </w:p>
    <w:p w:rsidR="00EB540B" w:rsidRDefault="008661DF" w:rsidP="0035643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Wyniki szczegółowej analizy </w:t>
      </w:r>
      <w:r w:rsidR="00F25D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dla kierunku Informatyka studia </w:t>
      </w:r>
      <w:r w:rsidR="00BB3A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stopnia </w:t>
      </w:r>
      <w:r w:rsidR="00F25D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stacjonarne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przedstawiają poniższ</w:t>
      </w:r>
      <w:r w:rsidR="00EB54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 </w:t>
      </w:r>
      <w:r w:rsidR="00945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tabele.</w:t>
      </w:r>
    </w:p>
    <w:p w:rsidR="00EB540B" w:rsidRDefault="00EB540B" w:rsidP="00196EF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661DF" w:rsidRPr="00EB540B" w:rsidRDefault="00EB540B" w:rsidP="00196EFE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EB54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Tabela 8. Ocena zajęć na kierunku Informatyka studia stacjonarne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F276B" w:rsidTr="006F276B">
        <w:tc>
          <w:tcPr>
            <w:tcW w:w="3070" w:type="dxa"/>
          </w:tcPr>
          <w:p w:rsidR="00356432" w:rsidRDefault="00356432" w:rsidP="006F27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6F276B" w:rsidRDefault="006F276B" w:rsidP="006F27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F2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Kierunek/rok studiów</w:t>
            </w:r>
          </w:p>
          <w:p w:rsidR="00356432" w:rsidRPr="006F276B" w:rsidRDefault="00356432" w:rsidP="006F27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356432" w:rsidRDefault="00356432" w:rsidP="006F27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6F276B" w:rsidRPr="006F276B" w:rsidRDefault="00CF0864" w:rsidP="006F27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F2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</w:t>
            </w:r>
            <w:r w:rsidR="006F276B" w:rsidRPr="006F2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ykłady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(średnia)</w:t>
            </w:r>
          </w:p>
        </w:tc>
        <w:tc>
          <w:tcPr>
            <w:tcW w:w="3071" w:type="dxa"/>
          </w:tcPr>
          <w:p w:rsidR="00356432" w:rsidRDefault="00356432" w:rsidP="006F27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6F276B" w:rsidRPr="006F276B" w:rsidRDefault="00CF0864" w:rsidP="006F27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F2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Ć</w:t>
            </w:r>
            <w:r w:rsidR="006F276B" w:rsidRPr="006F2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wiczenia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(średnia)</w:t>
            </w:r>
          </w:p>
        </w:tc>
      </w:tr>
      <w:tr w:rsidR="006F276B" w:rsidTr="006F276B">
        <w:tc>
          <w:tcPr>
            <w:tcW w:w="3070" w:type="dxa"/>
          </w:tcPr>
          <w:p w:rsidR="00356432" w:rsidRDefault="00356432" w:rsidP="006F2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6F276B" w:rsidRDefault="006F276B" w:rsidP="006F2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Informatyka</w:t>
            </w:r>
            <w:r w:rsidR="00B976BB" w:rsidRPr="00B97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stopnia studia stacjonarne</w:t>
            </w:r>
          </w:p>
          <w:p w:rsidR="00356432" w:rsidRPr="00B976BB" w:rsidRDefault="00356432" w:rsidP="006F2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6F276B" w:rsidRDefault="006F276B" w:rsidP="006F2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86094B" w:rsidRPr="0086094B" w:rsidRDefault="0086094B" w:rsidP="006F27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6F276B" w:rsidRDefault="006F276B" w:rsidP="006F2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86094B" w:rsidRDefault="0086094B" w:rsidP="00B826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F276B" w:rsidTr="006F276B">
        <w:tc>
          <w:tcPr>
            <w:tcW w:w="3070" w:type="dxa"/>
          </w:tcPr>
          <w:p w:rsidR="00356432" w:rsidRDefault="00356432" w:rsidP="006F2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6F276B" w:rsidRDefault="006F276B" w:rsidP="006F2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rok</w:t>
            </w:r>
          </w:p>
        </w:tc>
        <w:tc>
          <w:tcPr>
            <w:tcW w:w="3071" w:type="dxa"/>
          </w:tcPr>
          <w:p w:rsidR="00356432" w:rsidRDefault="00356432" w:rsidP="003854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3854B9" w:rsidRDefault="003854B9" w:rsidP="003854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4,85</w:t>
            </w:r>
          </w:p>
          <w:p w:rsidR="00356432" w:rsidRDefault="00356432" w:rsidP="003854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356432" w:rsidRDefault="00356432" w:rsidP="006F2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6F276B" w:rsidRDefault="007F471C" w:rsidP="006F2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</w:t>
            </w:r>
            <w:r w:rsidR="00F5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68</w:t>
            </w:r>
          </w:p>
        </w:tc>
      </w:tr>
      <w:tr w:rsidR="00B976BB" w:rsidTr="006F276B">
        <w:tc>
          <w:tcPr>
            <w:tcW w:w="3070" w:type="dxa"/>
          </w:tcPr>
          <w:p w:rsidR="00356432" w:rsidRDefault="00356432" w:rsidP="006F2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976BB" w:rsidRDefault="00B976BB" w:rsidP="006F2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 rok</w:t>
            </w:r>
          </w:p>
        </w:tc>
        <w:tc>
          <w:tcPr>
            <w:tcW w:w="3071" w:type="dxa"/>
          </w:tcPr>
          <w:p w:rsidR="00356432" w:rsidRDefault="00356432" w:rsidP="006F2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976BB" w:rsidRDefault="008C6AF4" w:rsidP="006F2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4,67</w:t>
            </w:r>
          </w:p>
          <w:p w:rsidR="00356432" w:rsidRDefault="00356432" w:rsidP="006F2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356432" w:rsidRDefault="00356432" w:rsidP="006F2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976BB" w:rsidRDefault="000B3F41" w:rsidP="006F2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4,69</w:t>
            </w:r>
          </w:p>
          <w:p w:rsidR="00356432" w:rsidRDefault="00356432" w:rsidP="006F2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976BB" w:rsidTr="006F276B">
        <w:tc>
          <w:tcPr>
            <w:tcW w:w="3070" w:type="dxa"/>
          </w:tcPr>
          <w:p w:rsidR="00356432" w:rsidRDefault="00356432" w:rsidP="006F2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976BB" w:rsidRDefault="00B976BB" w:rsidP="006F2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III rok</w:t>
            </w:r>
          </w:p>
          <w:p w:rsidR="00356432" w:rsidRDefault="00356432" w:rsidP="006F2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356432" w:rsidRDefault="00356432" w:rsidP="006F2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356432" w:rsidRDefault="00356432" w:rsidP="006F2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976BB" w:rsidRDefault="00AB4627" w:rsidP="006F2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4,28</w:t>
            </w:r>
          </w:p>
          <w:p w:rsidR="00356432" w:rsidRDefault="00356432" w:rsidP="006F2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356432" w:rsidRDefault="00356432" w:rsidP="006F2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976BB" w:rsidRDefault="00AB1C51" w:rsidP="006F2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4,32</w:t>
            </w:r>
          </w:p>
        </w:tc>
      </w:tr>
      <w:tr w:rsidR="00AB1C51" w:rsidTr="006F276B">
        <w:tc>
          <w:tcPr>
            <w:tcW w:w="3070" w:type="dxa"/>
          </w:tcPr>
          <w:p w:rsidR="00356432" w:rsidRDefault="00356432" w:rsidP="006F2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B1C51" w:rsidRDefault="00D01F81" w:rsidP="006F2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IV rok</w:t>
            </w:r>
          </w:p>
        </w:tc>
        <w:tc>
          <w:tcPr>
            <w:tcW w:w="3071" w:type="dxa"/>
          </w:tcPr>
          <w:p w:rsidR="00356432" w:rsidRDefault="00356432" w:rsidP="006F2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B1C51" w:rsidRDefault="00FD14AF" w:rsidP="006F2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4,71</w:t>
            </w:r>
          </w:p>
          <w:p w:rsidR="00356432" w:rsidRDefault="00356432" w:rsidP="006F2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356432" w:rsidRDefault="00356432" w:rsidP="006F2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B1C51" w:rsidRDefault="00FD14AF" w:rsidP="006F2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4,22</w:t>
            </w:r>
          </w:p>
        </w:tc>
      </w:tr>
    </w:tbl>
    <w:p w:rsidR="006F276B" w:rsidRPr="006F276B" w:rsidRDefault="006F276B" w:rsidP="006F276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6432" w:rsidRDefault="00356432" w:rsidP="00F6019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84FFA" w:rsidRDefault="00984FFA" w:rsidP="00196EFE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84FFA" w:rsidRDefault="00984FFA" w:rsidP="00196EFE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F0C1B" w:rsidRPr="00A04734" w:rsidRDefault="00EF0C1B" w:rsidP="003242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34">
        <w:rPr>
          <w:rFonts w:ascii="Times New Roman" w:hAnsi="Times New Roman" w:cs="Times New Roman"/>
          <w:b/>
          <w:sz w:val="28"/>
          <w:szCs w:val="28"/>
        </w:rPr>
        <w:t>3. Wnioski</w:t>
      </w:r>
    </w:p>
    <w:p w:rsidR="00A04734" w:rsidRDefault="00A04734" w:rsidP="00324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C1B" w:rsidRDefault="00EF0C1B" w:rsidP="00A0473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Badanie</w:t>
      </w:r>
      <w:r w:rsidRPr="00EF0C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="009F03A9">
        <w:rPr>
          <w:rFonts w:ascii="Times New Roman" w:hAnsi="Times New Roman" w:cs="Times New Roman"/>
          <w:sz w:val="24"/>
          <w:szCs w:val="24"/>
        </w:rPr>
        <w:t>akości</w:t>
      </w:r>
      <w:r>
        <w:rPr>
          <w:rFonts w:ascii="Times New Roman" w:hAnsi="Times New Roman" w:cs="Times New Roman"/>
          <w:sz w:val="24"/>
          <w:szCs w:val="24"/>
        </w:rPr>
        <w:t xml:space="preserve"> realizacji zajęć dydaktycznych, przeprowadzone na Wydziale Matematyki i Informatyki </w:t>
      </w:r>
      <w:r w:rsidRPr="00EF0C1B">
        <w:rPr>
          <w:rFonts w:ascii="Times New Roman" w:hAnsi="Times New Roman" w:cs="Times New Roman"/>
          <w:sz w:val="24"/>
          <w:szCs w:val="24"/>
        </w:rPr>
        <w:t>w dniach 03.03.2014-16.03.2014</w:t>
      </w:r>
      <w:r>
        <w:rPr>
          <w:rFonts w:ascii="Times New Roman" w:hAnsi="Times New Roman" w:cs="Times New Roman"/>
          <w:sz w:val="24"/>
          <w:szCs w:val="24"/>
        </w:rPr>
        <w:t>, dotyc</w:t>
      </w:r>
      <w:r w:rsidR="00324277">
        <w:rPr>
          <w:rFonts w:ascii="Times New Roman" w:hAnsi="Times New Roman" w:cs="Times New Roman"/>
          <w:sz w:val="24"/>
          <w:szCs w:val="24"/>
        </w:rPr>
        <w:t>zące przedmiotów prowadzonych w </w:t>
      </w:r>
      <w:r>
        <w:rPr>
          <w:rFonts w:ascii="Times New Roman" w:hAnsi="Times New Roman" w:cs="Times New Roman"/>
          <w:sz w:val="24"/>
          <w:szCs w:val="24"/>
        </w:rPr>
        <w:t xml:space="preserve">semestrze zimowym w roku akademickim 2013/14 </w:t>
      </w:r>
      <w:r w:rsidR="00422E7D">
        <w:rPr>
          <w:rFonts w:ascii="Times New Roman" w:hAnsi="Times New Roman" w:cs="Times New Roman"/>
          <w:sz w:val="24"/>
          <w:szCs w:val="24"/>
        </w:rPr>
        <w:t>można uznać za zadowalające.</w:t>
      </w:r>
    </w:p>
    <w:p w:rsidR="00422E7D" w:rsidRDefault="000638D6" w:rsidP="00324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kampanii informacyjnej przeprowadzonej drogą oficjalną przez ogłoszenia na stronie internetowej Wydziału oraz drogą elektroniczną, dziekan wydziału i prodziekan ds. kształcenia i studenckich przeprowadzili rozmowy ze studentami o założeniach, celach i zakresie badania.  Nie do przecenienia jest również rola samorządu studenckiego (RWSS WMiI), który aktywnie zaangażował się w akcję przeprowadzania badań ankietowych</w:t>
      </w:r>
      <w:r w:rsidR="00324277">
        <w:rPr>
          <w:rFonts w:ascii="Times New Roman" w:hAnsi="Times New Roman" w:cs="Times New Roman"/>
          <w:sz w:val="24"/>
          <w:szCs w:val="24"/>
        </w:rPr>
        <w:t xml:space="preserve"> na Wydziale. </w:t>
      </w:r>
    </w:p>
    <w:p w:rsidR="009228DB" w:rsidRDefault="00324277" w:rsidP="00EF0C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Znaczny odsetek studentów studiów stacjonarnych wypełnił ankiety, niezadowalająca okazała się jedynie frekwencja na kierunku Inf</w:t>
      </w:r>
      <w:r w:rsidR="009228DB">
        <w:rPr>
          <w:rFonts w:ascii="Times New Roman" w:hAnsi="Times New Roman" w:cs="Times New Roman"/>
          <w:sz w:val="24"/>
          <w:szCs w:val="24"/>
        </w:rPr>
        <w:t>ormatyka studia niestacjonarne.</w:t>
      </w:r>
    </w:p>
    <w:p w:rsidR="003F3DBE" w:rsidRDefault="009228DB" w:rsidP="003F3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prowadzone na Wydziale zostały ocenione</w:t>
      </w:r>
      <w:r w:rsidR="009F03A9">
        <w:rPr>
          <w:rFonts w:ascii="Times New Roman" w:hAnsi="Times New Roman" w:cs="Times New Roman"/>
          <w:sz w:val="24"/>
          <w:szCs w:val="24"/>
        </w:rPr>
        <w:t xml:space="preserve"> bardzo</w:t>
      </w:r>
      <w:r>
        <w:rPr>
          <w:rFonts w:ascii="Times New Roman" w:hAnsi="Times New Roman" w:cs="Times New Roman"/>
          <w:sz w:val="24"/>
          <w:szCs w:val="24"/>
        </w:rPr>
        <w:t xml:space="preserve"> dobrze</w:t>
      </w:r>
      <w:r w:rsidR="003F3DBE">
        <w:rPr>
          <w:rFonts w:ascii="Times New Roman" w:hAnsi="Times New Roman" w:cs="Times New Roman"/>
          <w:sz w:val="24"/>
          <w:szCs w:val="24"/>
        </w:rPr>
        <w:t xml:space="preserve"> - wynik </w:t>
      </w:r>
      <w:r w:rsidR="003F3DBE" w:rsidRPr="006D7388">
        <w:rPr>
          <w:rFonts w:ascii="Times New Roman" w:hAnsi="Times New Roman" w:cs="Times New Roman"/>
          <w:b/>
          <w:sz w:val="24"/>
          <w:szCs w:val="24"/>
        </w:rPr>
        <w:t>4,64</w:t>
      </w:r>
      <w:r w:rsidR="009F03A9">
        <w:rPr>
          <w:rFonts w:ascii="Times New Roman" w:hAnsi="Times New Roman" w:cs="Times New Roman"/>
          <w:sz w:val="24"/>
          <w:szCs w:val="24"/>
        </w:rPr>
        <w:t xml:space="preserve"> (w skali od 1 </w:t>
      </w:r>
      <w:r w:rsidR="003F3DBE">
        <w:rPr>
          <w:rFonts w:ascii="Times New Roman" w:hAnsi="Times New Roman" w:cs="Times New Roman"/>
          <w:sz w:val="24"/>
          <w:szCs w:val="24"/>
        </w:rPr>
        <w:t xml:space="preserve">do 5)  świadczy z pewnością o dobrej ocenie przez studentów  jakości oferowanych zajęć. Dobrze ocenieni zostali również nauczyciele akademiccy prowadzący zajęcia na Wydziale. Tylko 4 z nich otrzymało średnią ocenę poniżej 4,0, a najsłabszą oceną było 3,77.  </w:t>
      </w:r>
    </w:p>
    <w:p w:rsidR="00D14230" w:rsidRDefault="00D14230" w:rsidP="003F3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analizy komentarzy (297) można wnioskować o dużym zaangażowaniu </w:t>
      </w:r>
      <w:r w:rsidR="00F07889">
        <w:rPr>
          <w:rFonts w:ascii="Times New Roman" w:hAnsi="Times New Roman" w:cs="Times New Roman"/>
          <w:sz w:val="24"/>
          <w:szCs w:val="24"/>
        </w:rPr>
        <w:t>dydaktycznym znacznej grupy nauczycieli akademickich (zarówno młodych, rozpoczynających dopiero karierę na Wydziale, jak i starszych, z ogromnym doświadczeniem i dorobkiem naukowym). Dzięki komentarzom udało się wyłapać słabsze punkty procesu dydaktycznego</w:t>
      </w:r>
      <w:r w:rsidR="00A27081">
        <w:rPr>
          <w:rFonts w:ascii="Times New Roman" w:hAnsi="Times New Roman" w:cs="Times New Roman"/>
          <w:sz w:val="24"/>
          <w:szCs w:val="24"/>
        </w:rPr>
        <w:t xml:space="preserve"> (zostaną przedyskutowane na posiedzeniu Wydziałowego Zespołu ds. Zapewniania Jakości Kształcenia) </w:t>
      </w:r>
      <w:r w:rsidR="00F07889">
        <w:rPr>
          <w:rFonts w:ascii="Times New Roman" w:hAnsi="Times New Roman" w:cs="Times New Roman"/>
          <w:sz w:val="24"/>
          <w:szCs w:val="24"/>
        </w:rPr>
        <w:t xml:space="preserve"> – nie stwierdzono natomiast rażących uchybień. </w:t>
      </w:r>
    </w:p>
    <w:p w:rsidR="00EF0C1B" w:rsidRPr="00EF0C1B" w:rsidRDefault="00B826E7" w:rsidP="009458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Przeprowadzona analiza nie uwzględnia zajęć prowadzonych przez nauczycieli akademickich W</w:t>
      </w:r>
      <w:r w:rsidR="009F03A9">
        <w:rPr>
          <w:rFonts w:ascii="Times New Roman" w:hAnsi="Times New Roman" w:cs="Times New Roman"/>
          <w:sz w:val="24"/>
          <w:szCs w:val="24"/>
        </w:rPr>
        <w:t>ydziału Matematyki i Informatyki</w:t>
      </w:r>
      <w:r>
        <w:rPr>
          <w:rFonts w:ascii="Times New Roman" w:hAnsi="Times New Roman" w:cs="Times New Roman"/>
          <w:sz w:val="24"/>
          <w:szCs w:val="24"/>
        </w:rPr>
        <w:t xml:space="preserve"> na innych Wydziałach UWM (tzw. zajęć usługowych), uwzględnia natomiast zajęcia prowadzone na WMiI przez nauczycieli akademickich z innych Wydziałów i osoby zatrudnione na umowy zlecenia lub umowy o dzieło. </w:t>
      </w:r>
      <w:bookmarkStart w:id="0" w:name="_GoBack"/>
      <w:bookmarkEnd w:id="0"/>
    </w:p>
    <w:sectPr w:rsidR="00EF0C1B" w:rsidRPr="00EF0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95B" w:rsidRDefault="00CA595B" w:rsidP="00B05F9D">
      <w:pPr>
        <w:spacing w:after="0" w:line="240" w:lineRule="auto"/>
      </w:pPr>
      <w:r>
        <w:separator/>
      </w:r>
    </w:p>
  </w:endnote>
  <w:endnote w:type="continuationSeparator" w:id="0">
    <w:p w:rsidR="00CA595B" w:rsidRDefault="00CA595B" w:rsidP="00B05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95B" w:rsidRDefault="00CA595B" w:rsidP="00B05F9D">
      <w:pPr>
        <w:spacing w:after="0" w:line="240" w:lineRule="auto"/>
      </w:pPr>
      <w:r>
        <w:separator/>
      </w:r>
    </w:p>
  </w:footnote>
  <w:footnote w:type="continuationSeparator" w:id="0">
    <w:p w:rsidR="00CA595B" w:rsidRDefault="00CA595B" w:rsidP="00B05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E7BD8"/>
    <w:multiLevelType w:val="hybridMultilevel"/>
    <w:tmpl w:val="E4A89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77E76"/>
    <w:multiLevelType w:val="hybridMultilevel"/>
    <w:tmpl w:val="F2E4D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9011B"/>
    <w:multiLevelType w:val="hybridMultilevel"/>
    <w:tmpl w:val="16FAD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17547"/>
    <w:multiLevelType w:val="hybridMultilevel"/>
    <w:tmpl w:val="DFAC5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F34EF"/>
    <w:multiLevelType w:val="hybridMultilevel"/>
    <w:tmpl w:val="6988E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A3486"/>
    <w:multiLevelType w:val="hybridMultilevel"/>
    <w:tmpl w:val="E1DA1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C47DF"/>
    <w:multiLevelType w:val="hybridMultilevel"/>
    <w:tmpl w:val="D3C6F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D0CED"/>
    <w:multiLevelType w:val="hybridMultilevel"/>
    <w:tmpl w:val="459E1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9438B"/>
    <w:multiLevelType w:val="hybridMultilevel"/>
    <w:tmpl w:val="D9843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63D3D"/>
    <w:multiLevelType w:val="hybridMultilevel"/>
    <w:tmpl w:val="270EB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417834"/>
    <w:multiLevelType w:val="hybridMultilevel"/>
    <w:tmpl w:val="DED41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34292B"/>
    <w:multiLevelType w:val="hybridMultilevel"/>
    <w:tmpl w:val="05AC0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4F0B4B"/>
    <w:multiLevelType w:val="hybridMultilevel"/>
    <w:tmpl w:val="F014E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90A29"/>
    <w:multiLevelType w:val="hybridMultilevel"/>
    <w:tmpl w:val="075A4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D622E5"/>
    <w:multiLevelType w:val="hybridMultilevel"/>
    <w:tmpl w:val="ABB82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6"/>
  </w:num>
  <w:num w:numId="5">
    <w:abstractNumId w:val="11"/>
  </w:num>
  <w:num w:numId="6">
    <w:abstractNumId w:val="14"/>
  </w:num>
  <w:num w:numId="7">
    <w:abstractNumId w:val="0"/>
  </w:num>
  <w:num w:numId="8">
    <w:abstractNumId w:val="1"/>
  </w:num>
  <w:num w:numId="9">
    <w:abstractNumId w:val="4"/>
  </w:num>
  <w:num w:numId="10">
    <w:abstractNumId w:val="2"/>
  </w:num>
  <w:num w:numId="11">
    <w:abstractNumId w:val="12"/>
  </w:num>
  <w:num w:numId="12">
    <w:abstractNumId w:val="5"/>
  </w:num>
  <w:num w:numId="13">
    <w:abstractNumId w:val="8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383"/>
    <w:rsid w:val="00017DF9"/>
    <w:rsid w:val="00021684"/>
    <w:rsid w:val="0003775C"/>
    <w:rsid w:val="00040959"/>
    <w:rsid w:val="00046DD4"/>
    <w:rsid w:val="0004793D"/>
    <w:rsid w:val="00047D35"/>
    <w:rsid w:val="000615F7"/>
    <w:rsid w:val="000638D6"/>
    <w:rsid w:val="00071EF2"/>
    <w:rsid w:val="000A321A"/>
    <w:rsid w:val="000B3F41"/>
    <w:rsid w:val="000B5558"/>
    <w:rsid w:val="000E62AB"/>
    <w:rsid w:val="00116A28"/>
    <w:rsid w:val="00127D83"/>
    <w:rsid w:val="00140CCC"/>
    <w:rsid w:val="00163017"/>
    <w:rsid w:val="00170523"/>
    <w:rsid w:val="00176F52"/>
    <w:rsid w:val="00180B8A"/>
    <w:rsid w:val="00196EFE"/>
    <w:rsid w:val="001D53D0"/>
    <w:rsid w:val="001D69B5"/>
    <w:rsid w:val="00215AC8"/>
    <w:rsid w:val="002257FF"/>
    <w:rsid w:val="00251A17"/>
    <w:rsid w:val="0025258B"/>
    <w:rsid w:val="002536BA"/>
    <w:rsid w:val="00272ABD"/>
    <w:rsid w:val="002952B8"/>
    <w:rsid w:val="002C3A04"/>
    <w:rsid w:val="002D0402"/>
    <w:rsid w:val="002E30F0"/>
    <w:rsid w:val="002F33BE"/>
    <w:rsid w:val="003010D0"/>
    <w:rsid w:val="00322FB9"/>
    <w:rsid w:val="00324277"/>
    <w:rsid w:val="00337F5D"/>
    <w:rsid w:val="0034176C"/>
    <w:rsid w:val="00356432"/>
    <w:rsid w:val="003854B9"/>
    <w:rsid w:val="003904C9"/>
    <w:rsid w:val="00396AB1"/>
    <w:rsid w:val="003F3DBE"/>
    <w:rsid w:val="003F5AB0"/>
    <w:rsid w:val="00422E7D"/>
    <w:rsid w:val="00463001"/>
    <w:rsid w:val="00491D10"/>
    <w:rsid w:val="004A50EF"/>
    <w:rsid w:val="004C1AC9"/>
    <w:rsid w:val="004D5C31"/>
    <w:rsid w:val="004E673B"/>
    <w:rsid w:val="005111DB"/>
    <w:rsid w:val="005168D6"/>
    <w:rsid w:val="00525383"/>
    <w:rsid w:val="0052785A"/>
    <w:rsid w:val="0055116F"/>
    <w:rsid w:val="00575B0B"/>
    <w:rsid w:val="0059137F"/>
    <w:rsid w:val="005A1905"/>
    <w:rsid w:val="005A78FA"/>
    <w:rsid w:val="005B00A9"/>
    <w:rsid w:val="005B2D3C"/>
    <w:rsid w:val="005C2837"/>
    <w:rsid w:val="005C7F44"/>
    <w:rsid w:val="005D62DC"/>
    <w:rsid w:val="005D7A26"/>
    <w:rsid w:val="006114DD"/>
    <w:rsid w:val="00613E31"/>
    <w:rsid w:val="00616D33"/>
    <w:rsid w:val="00637F53"/>
    <w:rsid w:val="00660652"/>
    <w:rsid w:val="00667548"/>
    <w:rsid w:val="006758F1"/>
    <w:rsid w:val="00695D14"/>
    <w:rsid w:val="006A1494"/>
    <w:rsid w:val="006D7388"/>
    <w:rsid w:val="006E4EB2"/>
    <w:rsid w:val="006F276B"/>
    <w:rsid w:val="0070335C"/>
    <w:rsid w:val="00703EC4"/>
    <w:rsid w:val="00707E96"/>
    <w:rsid w:val="00712D7E"/>
    <w:rsid w:val="00717719"/>
    <w:rsid w:val="00753DBC"/>
    <w:rsid w:val="00762C6A"/>
    <w:rsid w:val="00790574"/>
    <w:rsid w:val="007B0B84"/>
    <w:rsid w:val="007E2E87"/>
    <w:rsid w:val="007F471C"/>
    <w:rsid w:val="00821F14"/>
    <w:rsid w:val="0086094B"/>
    <w:rsid w:val="008661DF"/>
    <w:rsid w:val="008705C0"/>
    <w:rsid w:val="008A3C53"/>
    <w:rsid w:val="008C25F9"/>
    <w:rsid w:val="008C6AF4"/>
    <w:rsid w:val="008D1887"/>
    <w:rsid w:val="008D5C73"/>
    <w:rsid w:val="008E3420"/>
    <w:rsid w:val="008F5E6E"/>
    <w:rsid w:val="008F6C7D"/>
    <w:rsid w:val="009228DB"/>
    <w:rsid w:val="009323EC"/>
    <w:rsid w:val="009458FB"/>
    <w:rsid w:val="00947134"/>
    <w:rsid w:val="00984FFA"/>
    <w:rsid w:val="009864C0"/>
    <w:rsid w:val="009B7D3A"/>
    <w:rsid w:val="009D5672"/>
    <w:rsid w:val="009E6E8B"/>
    <w:rsid w:val="009F03A9"/>
    <w:rsid w:val="00A04734"/>
    <w:rsid w:val="00A047BB"/>
    <w:rsid w:val="00A054CE"/>
    <w:rsid w:val="00A2035A"/>
    <w:rsid w:val="00A22690"/>
    <w:rsid w:val="00A27081"/>
    <w:rsid w:val="00A37FDC"/>
    <w:rsid w:val="00A527A3"/>
    <w:rsid w:val="00A57A6B"/>
    <w:rsid w:val="00A644F7"/>
    <w:rsid w:val="00A66E1E"/>
    <w:rsid w:val="00AB0E2B"/>
    <w:rsid w:val="00AB1C51"/>
    <w:rsid w:val="00AB4627"/>
    <w:rsid w:val="00AD0439"/>
    <w:rsid w:val="00AF50D8"/>
    <w:rsid w:val="00B05F9D"/>
    <w:rsid w:val="00B21636"/>
    <w:rsid w:val="00B26CBB"/>
    <w:rsid w:val="00B43492"/>
    <w:rsid w:val="00B44FFD"/>
    <w:rsid w:val="00B543B5"/>
    <w:rsid w:val="00B826E7"/>
    <w:rsid w:val="00B86001"/>
    <w:rsid w:val="00B873AB"/>
    <w:rsid w:val="00B976BB"/>
    <w:rsid w:val="00BB3A8F"/>
    <w:rsid w:val="00BC23A0"/>
    <w:rsid w:val="00BC561C"/>
    <w:rsid w:val="00BC6CC8"/>
    <w:rsid w:val="00BD73A1"/>
    <w:rsid w:val="00BF3067"/>
    <w:rsid w:val="00C27AE1"/>
    <w:rsid w:val="00C32B65"/>
    <w:rsid w:val="00C64871"/>
    <w:rsid w:val="00C71168"/>
    <w:rsid w:val="00C868B1"/>
    <w:rsid w:val="00C909F7"/>
    <w:rsid w:val="00CA595B"/>
    <w:rsid w:val="00CB429E"/>
    <w:rsid w:val="00CD0492"/>
    <w:rsid w:val="00CD2917"/>
    <w:rsid w:val="00CF0864"/>
    <w:rsid w:val="00CF3B7B"/>
    <w:rsid w:val="00D01F81"/>
    <w:rsid w:val="00D04BB8"/>
    <w:rsid w:val="00D131C6"/>
    <w:rsid w:val="00D14230"/>
    <w:rsid w:val="00D4130C"/>
    <w:rsid w:val="00D50423"/>
    <w:rsid w:val="00D73761"/>
    <w:rsid w:val="00D7487A"/>
    <w:rsid w:val="00D86E34"/>
    <w:rsid w:val="00D92E0E"/>
    <w:rsid w:val="00DA3DA9"/>
    <w:rsid w:val="00DD44CB"/>
    <w:rsid w:val="00DE5B94"/>
    <w:rsid w:val="00DF122C"/>
    <w:rsid w:val="00E00EA7"/>
    <w:rsid w:val="00E26CB0"/>
    <w:rsid w:val="00E26DEE"/>
    <w:rsid w:val="00E63177"/>
    <w:rsid w:val="00EB540B"/>
    <w:rsid w:val="00EB6FD3"/>
    <w:rsid w:val="00EE080C"/>
    <w:rsid w:val="00EE3AC3"/>
    <w:rsid w:val="00EE46D5"/>
    <w:rsid w:val="00EE54C4"/>
    <w:rsid w:val="00EF0C1B"/>
    <w:rsid w:val="00EF7B02"/>
    <w:rsid w:val="00F07889"/>
    <w:rsid w:val="00F25D35"/>
    <w:rsid w:val="00F5104E"/>
    <w:rsid w:val="00F53FA4"/>
    <w:rsid w:val="00F6019C"/>
    <w:rsid w:val="00F70BD6"/>
    <w:rsid w:val="00F97989"/>
    <w:rsid w:val="00FD14AF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B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54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05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F9D"/>
  </w:style>
  <w:style w:type="paragraph" w:styleId="Stopka">
    <w:name w:val="footer"/>
    <w:basedOn w:val="Normalny"/>
    <w:link w:val="StopkaZnak"/>
    <w:uiPriority w:val="99"/>
    <w:unhideWhenUsed/>
    <w:rsid w:val="00B05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F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B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54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05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F9D"/>
  </w:style>
  <w:style w:type="paragraph" w:styleId="Stopka">
    <w:name w:val="footer"/>
    <w:basedOn w:val="Normalny"/>
    <w:link w:val="StopkaZnak"/>
    <w:uiPriority w:val="99"/>
    <w:unhideWhenUsed/>
    <w:rsid w:val="00B05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850\Desktop\ankiet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850\Desktop\ankiet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i="1"/>
            </a:pPr>
            <a:r>
              <a:rPr lang="pl-PL" i="1"/>
              <a:t>Liczba nowych osób, które wypełniły</a:t>
            </a:r>
          </a:p>
          <a:p>
            <a:pPr>
              <a:defRPr i="1"/>
            </a:pPr>
            <a:r>
              <a:rPr lang="pl-PL" i="1"/>
              <a:t>co</a:t>
            </a:r>
            <a:r>
              <a:rPr lang="pl-PL" i="1" baseline="0"/>
              <a:t> </a:t>
            </a:r>
            <a:r>
              <a:rPr lang="pl-PL" i="1"/>
              <a:t>najmniej 1 ankietę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Arkusz1!$C$1</c:f>
              <c:strCache>
                <c:ptCount val="1"/>
                <c:pt idx="0">
                  <c:v>Liczba nowych osób, które wypełniły co najmniej 1 ankietę</c:v>
                </c:pt>
              </c:strCache>
            </c:strRef>
          </c:tx>
          <c:invertIfNegative val="0"/>
          <c:cat>
            <c:numRef>
              <c:f>Arkusz1!$A$2:$A$15</c:f>
              <c:numCache>
                <c:formatCode>m/d/yyyy</c:formatCode>
                <c:ptCount val="14"/>
                <c:pt idx="0">
                  <c:v>41701</c:v>
                </c:pt>
                <c:pt idx="1">
                  <c:v>41702</c:v>
                </c:pt>
                <c:pt idx="2">
                  <c:v>41703</c:v>
                </c:pt>
                <c:pt idx="3">
                  <c:v>41704</c:v>
                </c:pt>
                <c:pt idx="4">
                  <c:v>41705</c:v>
                </c:pt>
                <c:pt idx="5">
                  <c:v>41706</c:v>
                </c:pt>
                <c:pt idx="6">
                  <c:v>41707</c:v>
                </c:pt>
                <c:pt idx="7">
                  <c:v>41708</c:v>
                </c:pt>
                <c:pt idx="8">
                  <c:v>41709</c:v>
                </c:pt>
                <c:pt idx="9">
                  <c:v>41710</c:v>
                </c:pt>
                <c:pt idx="10">
                  <c:v>41711</c:v>
                </c:pt>
                <c:pt idx="11">
                  <c:v>41712</c:v>
                </c:pt>
                <c:pt idx="12">
                  <c:v>41713</c:v>
                </c:pt>
                <c:pt idx="13">
                  <c:v>41714</c:v>
                </c:pt>
              </c:numCache>
            </c:numRef>
          </c:cat>
          <c:val>
            <c:numRef>
              <c:f>Arkusz1!$C$2:$C$15</c:f>
              <c:numCache>
                <c:formatCode>General</c:formatCode>
                <c:ptCount val="14"/>
                <c:pt idx="0">
                  <c:v>247</c:v>
                </c:pt>
                <c:pt idx="1">
                  <c:v>85</c:v>
                </c:pt>
                <c:pt idx="2">
                  <c:v>52</c:v>
                </c:pt>
                <c:pt idx="3">
                  <c:v>13</c:v>
                </c:pt>
                <c:pt idx="4">
                  <c:v>12</c:v>
                </c:pt>
                <c:pt idx="5">
                  <c:v>37</c:v>
                </c:pt>
                <c:pt idx="6">
                  <c:v>53</c:v>
                </c:pt>
                <c:pt idx="7">
                  <c:v>41</c:v>
                </c:pt>
                <c:pt idx="8">
                  <c:v>33</c:v>
                </c:pt>
                <c:pt idx="9">
                  <c:v>37</c:v>
                </c:pt>
                <c:pt idx="10">
                  <c:v>38</c:v>
                </c:pt>
                <c:pt idx="11">
                  <c:v>13</c:v>
                </c:pt>
                <c:pt idx="12">
                  <c:v>13</c:v>
                </c:pt>
                <c:pt idx="13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8911744"/>
        <c:axId val="118914048"/>
        <c:axId val="0"/>
      </c:bar3DChart>
      <c:dateAx>
        <c:axId val="118911744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118914048"/>
        <c:crosses val="autoZero"/>
        <c:auto val="1"/>
        <c:lblOffset val="100"/>
        <c:baseTimeUnit val="days"/>
      </c:dateAx>
      <c:valAx>
        <c:axId val="118914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9117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i="1"/>
          </a:pPr>
          <a:endParaRPr lang="pl-PL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7049498580144616E-2"/>
          <c:y val="0.14426510065344311"/>
          <c:w val="0.8977433900806765"/>
          <c:h val="0.6766641917837402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wypełnionych ankiet</c:v>
                </c:pt>
              </c:strCache>
            </c:strRef>
          </c:tx>
          <c:invertIfNegative val="0"/>
          <c:cat>
            <c:numRef>
              <c:f>Arkusz1!$A$2:$A$15</c:f>
              <c:numCache>
                <c:formatCode>m/d/yyyy</c:formatCode>
                <c:ptCount val="14"/>
                <c:pt idx="0">
                  <c:v>41701</c:v>
                </c:pt>
                <c:pt idx="1">
                  <c:v>41702</c:v>
                </c:pt>
                <c:pt idx="2">
                  <c:v>41703</c:v>
                </c:pt>
                <c:pt idx="3">
                  <c:v>41704</c:v>
                </c:pt>
                <c:pt idx="4">
                  <c:v>41705</c:v>
                </c:pt>
                <c:pt idx="5">
                  <c:v>41706</c:v>
                </c:pt>
                <c:pt idx="6">
                  <c:v>41707</c:v>
                </c:pt>
                <c:pt idx="7">
                  <c:v>41708</c:v>
                </c:pt>
                <c:pt idx="8">
                  <c:v>41709</c:v>
                </c:pt>
                <c:pt idx="9">
                  <c:v>41710</c:v>
                </c:pt>
                <c:pt idx="10">
                  <c:v>41711</c:v>
                </c:pt>
                <c:pt idx="11">
                  <c:v>41712</c:v>
                </c:pt>
                <c:pt idx="12">
                  <c:v>41713</c:v>
                </c:pt>
                <c:pt idx="13">
                  <c:v>41714</c:v>
                </c:pt>
              </c:numCache>
            </c:numRef>
          </c:cat>
          <c:val>
            <c:numRef>
              <c:f>Arkusz1!$B$2:$B$15</c:f>
              <c:numCache>
                <c:formatCode>General</c:formatCode>
                <c:ptCount val="14"/>
                <c:pt idx="0">
                  <c:v>2113</c:v>
                </c:pt>
                <c:pt idx="1">
                  <c:v>744</c:v>
                </c:pt>
                <c:pt idx="2">
                  <c:v>451</c:v>
                </c:pt>
                <c:pt idx="3">
                  <c:v>97</c:v>
                </c:pt>
                <c:pt idx="4">
                  <c:v>117</c:v>
                </c:pt>
                <c:pt idx="5">
                  <c:v>397</c:v>
                </c:pt>
                <c:pt idx="6">
                  <c:v>628</c:v>
                </c:pt>
                <c:pt idx="7">
                  <c:v>439</c:v>
                </c:pt>
                <c:pt idx="8">
                  <c:v>369</c:v>
                </c:pt>
                <c:pt idx="9">
                  <c:v>399</c:v>
                </c:pt>
                <c:pt idx="10">
                  <c:v>401</c:v>
                </c:pt>
                <c:pt idx="11">
                  <c:v>150</c:v>
                </c:pt>
                <c:pt idx="12">
                  <c:v>139</c:v>
                </c:pt>
                <c:pt idx="13">
                  <c:v>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0556160"/>
        <c:axId val="120627584"/>
        <c:axId val="0"/>
      </c:bar3DChart>
      <c:dateAx>
        <c:axId val="120556160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120627584"/>
        <c:crosses val="autoZero"/>
        <c:auto val="1"/>
        <c:lblOffset val="100"/>
        <c:baseTimeUnit val="days"/>
      </c:dateAx>
      <c:valAx>
        <c:axId val="120627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5561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1298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4</cp:revision>
  <cp:lastPrinted>2014-04-04T09:01:00Z</cp:lastPrinted>
  <dcterms:created xsi:type="dcterms:W3CDTF">2015-01-08T14:57:00Z</dcterms:created>
  <dcterms:modified xsi:type="dcterms:W3CDTF">2015-01-08T17:59:00Z</dcterms:modified>
</cp:coreProperties>
</file>